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B43D" w14:textId="12518651" w:rsidR="00012917" w:rsidRDefault="00EA54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0" w:line="256" w:lineRule="auto"/>
        <w:ind w:left="5578" w:right="5535" w:firstLine="0"/>
        <w:jc w:val="center"/>
      </w:pPr>
      <w:r>
        <w:t>Commonwealth University Program Review Rubric</w:t>
      </w:r>
      <w:r w:rsidR="004756F7">
        <w:t>–</w:t>
      </w:r>
      <w:r>
        <w:t>Programs in Review</w:t>
      </w:r>
    </w:p>
    <w:p w14:paraId="3ED07255" w14:textId="595B75A5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7199"/>
          <w:tab w:val="right" w:pos="14414"/>
        </w:tabs>
        <w:spacing w:after="31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t>AY 202</w:t>
      </w:r>
      <w:r w:rsidR="00EA5460">
        <w:t>5</w:t>
      </w:r>
      <w:r>
        <w:t>-2</w:t>
      </w:r>
      <w:r w:rsidR="00EA5460">
        <w:t>6</w:t>
      </w:r>
      <w:r>
        <w:t xml:space="preserve"> </w:t>
      </w:r>
      <w:r>
        <w:tab/>
        <w:t>Program: ___________________________________</w:t>
      </w:r>
    </w:p>
    <w:p w14:paraId="5DBF0F8D" w14:textId="750003C6" w:rsidR="00012917" w:rsidRDefault="00800B59">
      <w:pPr>
        <w:spacing w:after="270" w:line="259" w:lineRule="auto"/>
        <w:ind w:left="-15" w:firstLine="0"/>
      </w:pPr>
      <w:r>
        <w:t xml:space="preserve">Explanation of </w:t>
      </w:r>
      <w:r w:rsidR="00A66099">
        <w:t>r</w:t>
      </w:r>
      <w:r>
        <w:t xml:space="preserve">ubric </w:t>
      </w:r>
      <w:r w:rsidR="00A66099">
        <w:t>u</w:t>
      </w:r>
      <w:r>
        <w:t xml:space="preserve">sage in </w:t>
      </w:r>
      <w:r w:rsidR="00A66099">
        <w:t>r</w:t>
      </w:r>
      <w:r w:rsidR="00EA5460">
        <w:t xml:space="preserve">eviewing </w:t>
      </w:r>
      <w:r>
        <w:t>Program</w:t>
      </w:r>
      <w:r w:rsidR="00EA5460">
        <w:t>s in</w:t>
      </w:r>
      <w:r>
        <w:t xml:space="preserve"> Review</w:t>
      </w:r>
      <w:r w:rsidR="00A66099">
        <w:t>:</w:t>
      </w:r>
    </w:p>
    <w:p w14:paraId="05C48AEA" w14:textId="567CB074" w:rsidR="00012917" w:rsidRDefault="00A66099">
      <w:pPr>
        <w:spacing w:after="277"/>
        <w:ind w:left="-5"/>
      </w:pPr>
      <w:r>
        <w:t>T</w:t>
      </w:r>
      <w:r w:rsidR="00800B59">
        <w:t xml:space="preserve">he </w:t>
      </w:r>
      <w:r w:rsidR="002122B9">
        <w:t>P</w:t>
      </w:r>
      <w:r w:rsidR="00800B59">
        <w:t>rogram</w:t>
      </w:r>
      <w:r w:rsidR="002122B9">
        <w:t>s in</w:t>
      </w:r>
      <w:r w:rsidR="00800B59">
        <w:t xml:space="preserve"> </w:t>
      </w:r>
      <w:r w:rsidR="002122B9">
        <w:t>R</w:t>
      </w:r>
      <w:r w:rsidR="00800B59">
        <w:t xml:space="preserve">eview rubric is designed to guide </w:t>
      </w:r>
      <w:r w:rsidR="002122B9">
        <w:t xml:space="preserve">discussions </w:t>
      </w:r>
      <w:r w:rsidR="00800B59">
        <w:t>in assessing the key metrics</w:t>
      </w:r>
      <w:r>
        <w:t>. It is</w:t>
      </w:r>
      <w:r w:rsidR="00800B59">
        <w:t xml:space="preserve"> important to emphasize that the rubric does not and should not function as an algorithm that provides a fully quantitative analysis. The rubric is not a tool for generating a cut score or grade, nor does it issue a purely data-driven decision </w:t>
      </w:r>
      <w:r w:rsidR="002122B9">
        <w:t>upon which to make a recommendation</w:t>
      </w:r>
      <w:r w:rsidR="00800B59">
        <w:t>. Instead, the process is better described as “</w:t>
      </w:r>
      <w:proofErr w:type="gramStart"/>
      <w:r w:rsidR="00800B59">
        <w:t>data-informed</w:t>
      </w:r>
      <w:proofErr w:type="gramEnd"/>
      <w:r w:rsidR="00800B59">
        <w:t xml:space="preserve">.” </w:t>
      </w:r>
    </w:p>
    <w:p w14:paraId="52C4EC44" w14:textId="70B8C024" w:rsidR="002122B9" w:rsidRDefault="00800B59">
      <w:pPr>
        <w:ind w:left="-5"/>
      </w:pPr>
      <w:r>
        <w:t>The scoring on each metric (e.g., Excellent, Moderate, Poor) helps identify areas where a program may be excelling or where challenges may exist</w:t>
      </w:r>
      <w:r w:rsidR="00A66099">
        <w:t>; t</w:t>
      </w:r>
      <w:r>
        <w:t xml:space="preserve">he primary goal is to foster meaningful discussion about the program’s strengths and weaknesses. This discussion also </w:t>
      </w:r>
      <w:r w:rsidR="005E2607">
        <w:t>helps</w:t>
      </w:r>
      <w:r>
        <w:t xml:space="preserve"> generat</w:t>
      </w:r>
      <w:r w:rsidR="005E2607">
        <w:t>e</w:t>
      </w:r>
      <w:r>
        <w:t xml:space="preserve"> key questions, which in turn inform the </w:t>
      </w:r>
      <w:r w:rsidR="002122B9">
        <w:t xml:space="preserve">department’s planning as well as the </w:t>
      </w:r>
      <w:r w:rsidR="005E2607">
        <w:t>dean’s and COD’s</w:t>
      </w:r>
      <w:r>
        <w:t xml:space="preserve"> responses and recommendations to the </w:t>
      </w:r>
      <w:r w:rsidR="005E2607">
        <w:t>Provost</w:t>
      </w:r>
      <w:r>
        <w:t>.</w:t>
      </w:r>
      <w:r w:rsidR="002122B9">
        <w:t xml:space="preserve"> </w:t>
      </w:r>
    </w:p>
    <w:p w14:paraId="51039219" w14:textId="77777777" w:rsidR="002122B9" w:rsidRDefault="002122B9">
      <w:pPr>
        <w:ind w:left="-5"/>
      </w:pPr>
    </w:p>
    <w:p w14:paraId="6011DBB1" w14:textId="53201A15" w:rsidR="00012917" w:rsidRDefault="00A66099">
      <w:pPr>
        <w:ind w:left="-5"/>
      </w:pPr>
      <w:r>
        <w:t>The program has provided narrative responses. D</w:t>
      </w:r>
      <w:r w:rsidR="002122B9" w:rsidRPr="002122B9">
        <w:t xml:space="preserve">ata is located at the Institutional Research dashboards at </w:t>
      </w:r>
      <w:hyperlink r:id="rId5" w:history="1">
        <w:r w:rsidR="002122B9" w:rsidRPr="002122B9">
          <w:rPr>
            <w:rStyle w:val="Hyperlink"/>
          </w:rPr>
          <w:t>https://www.commonwealthu.edu/offices-directory/institutional-effectiveness/institutional-research</w:t>
        </w:r>
      </w:hyperlink>
      <w:r w:rsidR="00EC4C87">
        <w:t xml:space="preserve"> and </w:t>
      </w:r>
      <w:hyperlink r:id="rId6" w:history="1">
        <w:r w:rsidR="00EC4C87" w:rsidRPr="006C5A6C">
          <w:rPr>
            <w:rStyle w:val="Hyperlink"/>
          </w:rPr>
          <w:t>https://www.commonwealthu.edu/offices-directory/institutional-effectiveness/oie-assessment/program-assessment</w:t>
        </w:r>
      </w:hyperlink>
      <w:r w:rsidR="00EC4C87">
        <w:t xml:space="preserve">. </w:t>
      </w:r>
      <w:r w:rsidR="00E276D7">
        <w:t>Questions about data may be shared with Institutional Research</w:t>
      </w:r>
      <w:r w:rsidR="006B608C">
        <w:t xml:space="preserve"> for </w:t>
      </w:r>
      <w:r w:rsidR="003E3035">
        <w:t xml:space="preserve">clarification and </w:t>
      </w:r>
      <w:r w:rsidR="006B608C">
        <w:t xml:space="preserve">the comments sections </w:t>
      </w:r>
      <w:r w:rsidR="003E3035">
        <w:t xml:space="preserve">may </w:t>
      </w:r>
      <w:r w:rsidR="006B608C">
        <w:t>be utilized t</w:t>
      </w:r>
      <w:r w:rsidR="00F0271B">
        <w:t xml:space="preserve">o briefly explain </w:t>
      </w:r>
      <w:r w:rsidR="003E3035">
        <w:t>unique situations.</w:t>
      </w:r>
    </w:p>
    <w:p w14:paraId="7F37A242" w14:textId="77777777" w:rsidR="002122B9" w:rsidRDefault="002122B9">
      <w:pPr>
        <w:ind w:left="-5"/>
      </w:pPr>
    </w:p>
    <w:tbl>
      <w:tblPr>
        <w:tblStyle w:val="TableGrid"/>
        <w:tblW w:w="14388" w:type="dxa"/>
        <w:tblInd w:w="6" w:type="dxa"/>
        <w:tblCellMar>
          <w:top w:w="5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659"/>
        <w:gridCol w:w="3127"/>
        <w:gridCol w:w="3130"/>
        <w:gridCol w:w="3127"/>
        <w:gridCol w:w="605"/>
        <w:gridCol w:w="740"/>
      </w:tblGrid>
      <w:tr w:rsidR="00012917" w14:paraId="22B714A7" w14:textId="77777777">
        <w:trPr>
          <w:trHeight w:val="262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60758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Program Student Data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47FFA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Excellent (3)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E7ED3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Moderate (2)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B438CC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Poor (1)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F3C346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jc w:val="both"/>
            </w:pPr>
            <w:r>
              <w:t xml:space="preserve">N/A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7341C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Score </w:t>
            </w:r>
          </w:p>
        </w:tc>
      </w:tr>
      <w:tr w:rsidR="00012917" w14:paraId="07C06A42" w14:textId="77777777">
        <w:trPr>
          <w:trHeight w:val="875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1585" w14:textId="560394B9" w:rsidR="00012917" w:rsidRDefault="00EE3DF2" w:rsidP="00275EBF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right="343"/>
            </w:pPr>
            <w:r>
              <w:t>Fall Student Data</w:t>
            </w:r>
            <w:r w:rsidR="00800B59">
              <w:t xml:space="preserve"> (1</w:t>
            </w:r>
            <w:r w:rsidR="00800B59" w:rsidRPr="00EA5460">
              <w:rPr>
                <w:vertAlign w:val="superscript"/>
              </w:rPr>
              <w:t>st</w:t>
            </w:r>
            <w:r w:rsidR="00800B59">
              <w:t>/2</w:t>
            </w:r>
            <w:r w:rsidR="00800B59" w:rsidRPr="00EA5460">
              <w:rPr>
                <w:vertAlign w:val="superscript"/>
              </w:rPr>
              <w:t xml:space="preserve">nd </w:t>
            </w:r>
            <w:r w:rsidR="00800B59">
              <w:t>majors, certificates, minors</w:t>
            </w:r>
            <w:r w:rsidR="002122B9">
              <w:t>, concentrations</w:t>
            </w:r>
            <w:r>
              <w:t xml:space="preserve"> – by Headcount</w:t>
            </w:r>
            <w:r w:rsidR="00800B59">
              <w:t>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7AC3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Increased 10% or more over the last 3 years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76D0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D9AA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jc w:val="both"/>
            </w:pPr>
            <w:r>
              <w:t xml:space="preserve">Decreased 10% or more over the last 3 years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08E8" w14:textId="77777777" w:rsidR="00012917" w:rsidRPr="00A66099" w:rsidRDefault="00012917">
            <w:pPr>
              <w:spacing w:after="160" w:line="259" w:lineRule="auto"/>
              <w:ind w:left="0" w:firstLine="0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5DF5" w14:textId="77777777" w:rsidR="00012917" w:rsidRPr="00A66099" w:rsidRDefault="00012917">
            <w:pPr>
              <w:spacing w:after="160" w:line="259" w:lineRule="auto"/>
              <w:ind w:left="0" w:firstLine="0"/>
            </w:pPr>
          </w:p>
        </w:tc>
      </w:tr>
      <w:tr w:rsidR="00012917" w14:paraId="12DD0228" w14:textId="77777777">
        <w:trPr>
          <w:trHeight w:val="874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08D1" w14:textId="536ACFB7" w:rsidR="00012917" w:rsidRDefault="00EE3DF2" w:rsidP="00275EBF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right="41"/>
            </w:pPr>
            <w:r>
              <w:t>New First-Time Students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2587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Increased 10% or more over the last 3 years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593A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CDD9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jc w:val="both"/>
            </w:pPr>
            <w:r>
              <w:t xml:space="preserve">Decreased 10% or more over the last 3 years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E7C" w14:textId="77777777" w:rsidR="00012917" w:rsidRPr="00A66099" w:rsidRDefault="00012917">
            <w:pPr>
              <w:spacing w:after="160" w:line="259" w:lineRule="auto"/>
              <w:ind w:left="0" w:firstLine="0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B03D" w14:textId="77777777" w:rsidR="00012917" w:rsidRPr="00A66099" w:rsidRDefault="00012917">
            <w:pPr>
              <w:spacing w:after="160" w:line="259" w:lineRule="auto"/>
              <w:ind w:left="0" w:firstLine="0"/>
            </w:pPr>
          </w:p>
        </w:tc>
      </w:tr>
      <w:tr w:rsidR="00EE3DF2" w14:paraId="5520ADCD" w14:textId="77777777">
        <w:trPr>
          <w:trHeight w:val="874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CBC5" w14:textId="7D9CEF7B" w:rsidR="00EE3DF2" w:rsidRDefault="00EE3DF2" w:rsidP="00EE3DF2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enter" w:pos="1489"/>
              </w:tabs>
              <w:spacing w:after="0" w:line="259" w:lineRule="auto"/>
            </w:pPr>
            <w:r>
              <w:t>Completions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005D" w14:textId="419BD344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Increased 10% or more over the last 3 years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A150" w14:textId="03FAE0F8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565F" w14:textId="4458CD65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jc w:val="both"/>
            </w:pPr>
            <w:r>
              <w:t xml:space="preserve">Decreased 10% or more over the last 3 years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7253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9EA3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</w:tr>
      <w:tr w:rsidR="00EE3DF2" w14:paraId="72FA67B8" w14:textId="77777777">
        <w:trPr>
          <w:trHeight w:val="874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84E2" w14:textId="4A4970F7" w:rsidR="00EE3DF2" w:rsidRDefault="00EE3DF2" w:rsidP="00EE3DF2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enter" w:pos="1489"/>
              </w:tabs>
              <w:spacing w:after="0" w:line="259" w:lineRule="auto"/>
            </w:pPr>
            <w:r>
              <w:t>Course Data (Annual Credits</w:t>
            </w:r>
            <w:r w:rsidR="00933666">
              <w:t xml:space="preserve"> tab</w:t>
            </w:r>
            <w:r>
              <w:t>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AF77" w14:textId="77777777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Increased 10% or more over the last 3 years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2824" w14:textId="77777777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EAF6" w14:textId="77777777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jc w:val="both"/>
            </w:pPr>
            <w:r>
              <w:t xml:space="preserve">Decreased 10% or more over the last 3 years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98D6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2FCA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</w:tr>
      <w:tr w:rsidR="00EE3DF2" w14:paraId="58A9313D" w14:textId="77777777">
        <w:trPr>
          <w:trHeight w:val="874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EA1E" w14:textId="173962CE" w:rsidR="00EE3DF2" w:rsidRDefault="00EE3DF2" w:rsidP="00EE3DF2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enter" w:pos="1665"/>
              </w:tabs>
              <w:spacing w:after="0" w:line="259" w:lineRule="auto"/>
            </w:pPr>
            <w:r>
              <w:t xml:space="preserve">Course Section Size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4681" w14:textId="77777777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Increased 10% or more over the last 3 years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B940" w14:textId="77777777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A5CA" w14:textId="77777777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jc w:val="both"/>
            </w:pPr>
            <w:r>
              <w:t xml:space="preserve">Decreased 10% or more over the last 3 years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128C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485F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</w:tr>
      <w:tr w:rsidR="00EE3DF2" w14:paraId="215BBB32" w14:textId="77777777">
        <w:trPr>
          <w:trHeight w:val="87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CAFF" w14:textId="3DC8C2CF" w:rsidR="00EE3DF2" w:rsidRDefault="00EE3DF2" w:rsidP="00EE3DF2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enter" w:pos="1108"/>
              </w:tabs>
              <w:spacing w:after="0" w:line="259" w:lineRule="auto"/>
            </w:pPr>
            <w:r>
              <w:lastRenderedPageBreak/>
              <w:tab/>
              <w:t>DFWI Rates (Program</w:t>
            </w:r>
            <w:r w:rsidR="00933666">
              <w:t xml:space="preserve"> tab</w:t>
            </w:r>
            <w:r>
              <w:t>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90AC" w14:textId="1B061394" w:rsidR="00EE3DF2" w:rsidRDefault="00933666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>Decreased</w:t>
            </w:r>
            <w:r w:rsidR="00EE3DF2">
              <w:t xml:space="preserve"> 10% or more over the last 3 years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EFE0" w14:textId="77777777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3299" w14:textId="384BF293" w:rsidR="00EE3DF2" w:rsidRDefault="00933666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jc w:val="both"/>
            </w:pPr>
            <w:r>
              <w:t>Increased</w:t>
            </w:r>
            <w:r w:rsidR="00EE3DF2">
              <w:t xml:space="preserve"> 10% or more over the last 3 years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09B2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414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</w:tr>
      <w:tr w:rsidR="00EE3DF2" w14:paraId="4F2A1D0E" w14:textId="77777777">
        <w:trPr>
          <w:trHeight w:val="874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1E2B" w14:textId="22152A74" w:rsidR="00EE3DF2" w:rsidRDefault="00EE3DF2" w:rsidP="00EE3DF2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center" w:pos="1600"/>
              </w:tabs>
              <w:spacing w:after="0" w:line="259" w:lineRule="auto"/>
            </w:pPr>
            <w:r>
              <w:t>Student to Faculty Ratio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2984" w14:textId="2FC3F21D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jc w:val="both"/>
            </w:pPr>
            <w:r>
              <w:t xml:space="preserve">Increased 10% or more over the last 3 years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9B3F" w14:textId="77777777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A81C" w14:textId="4972B1C8" w:rsidR="00EE3DF2" w:rsidRDefault="00EE3DF2" w:rsidP="00EE3D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Decreased 10% or more over the last 3 years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2D7D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DCCB" w14:textId="77777777" w:rsidR="00EE3DF2" w:rsidRPr="00A66099" w:rsidRDefault="00EE3DF2" w:rsidP="00EE3DF2">
            <w:pPr>
              <w:spacing w:after="160" w:line="259" w:lineRule="auto"/>
              <w:ind w:left="0" w:firstLine="0"/>
            </w:pPr>
          </w:p>
        </w:tc>
      </w:tr>
    </w:tbl>
    <w:p w14:paraId="0E4226E5" w14:textId="77777777" w:rsidR="00A66099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55" w:line="259" w:lineRule="auto"/>
        <w:ind w:left="0" w:firstLine="0"/>
      </w:pPr>
      <w:r>
        <w:t xml:space="preserve"> </w:t>
      </w:r>
    </w:p>
    <w:p w14:paraId="0A1DE39C" w14:textId="771F7E6E" w:rsidR="00012917" w:rsidRDefault="00212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55" w:line="259" w:lineRule="auto"/>
        <w:ind w:left="0" w:firstLine="0"/>
      </w:pPr>
      <w:r>
        <w:t>Comments:</w:t>
      </w:r>
    </w:p>
    <w:p w14:paraId="1B6A0FE2" w14:textId="521B79FD" w:rsidR="00012917" w:rsidRDefault="000129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</w:pPr>
    </w:p>
    <w:tbl>
      <w:tblPr>
        <w:tblStyle w:val="TableGrid"/>
        <w:tblW w:w="14398" w:type="dxa"/>
        <w:tblInd w:w="6" w:type="dxa"/>
        <w:tblCellMar>
          <w:top w:w="5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637"/>
        <w:gridCol w:w="3197"/>
        <w:gridCol w:w="3061"/>
        <w:gridCol w:w="3148"/>
        <w:gridCol w:w="613"/>
        <w:gridCol w:w="742"/>
      </w:tblGrid>
      <w:tr w:rsidR="00012917" w14:paraId="2C92CF17" w14:textId="77777777">
        <w:trPr>
          <w:trHeight w:val="25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00E78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Program Financial Data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7E25D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Excellent (3)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402A5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Moderate (2)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C64D41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Poor (1)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8EA43C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  <w:jc w:val="both"/>
            </w:pPr>
            <w:r>
              <w:t xml:space="preserve">N/A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F61AC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  <w:r>
              <w:t xml:space="preserve">Score </w:t>
            </w:r>
          </w:p>
        </w:tc>
      </w:tr>
      <w:tr w:rsidR="00012917" w14:paraId="13269AD4" w14:textId="77777777" w:rsidTr="00E75827">
        <w:trPr>
          <w:trHeight w:val="875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6366" w14:textId="5F52C754" w:rsidR="00012917" w:rsidRPr="00A66099" w:rsidRDefault="00EC4C87" w:rsidP="00A6609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 w:rsidRPr="00A66099">
              <w:t xml:space="preserve">Functional Cost </w:t>
            </w:r>
            <w:r w:rsidR="00A66099" w:rsidRPr="00A66099">
              <w:t xml:space="preserve">Model </w:t>
            </w:r>
            <w:r w:rsidRPr="00A66099">
              <w:t>by Major</w:t>
            </w:r>
            <w:r w:rsidR="00800B59" w:rsidRPr="00A66099">
              <w:t xml:space="preserve"> </w:t>
            </w:r>
            <w:r w:rsidR="00A66099">
              <w:t>(</w:t>
            </w:r>
            <w:r w:rsidR="00AD7BD3">
              <w:t xml:space="preserve">Revenue </w:t>
            </w:r>
            <w:r w:rsidR="00BC4159">
              <w:t>tab</w:t>
            </w:r>
            <w:r w:rsidR="00A66099">
              <w:t>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02D1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Increased 10% or more over the last 3 years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DFB2" w14:textId="77777777" w:rsidR="00012917" w:rsidRDefault="00800B59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8C5A" w14:textId="77777777" w:rsidR="00012917" w:rsidRDefault="00800B59" w:rsidP="00E75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Decreased 10% or more over the last 3 years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269F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7802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12917" w14:paraId="063759FC" w14:textId="77777777" w:rsidTr="00E75827">
        <w:trPr>
          <w:trHeight w:val="876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7009" w14:textId="289AE8F4" w:rsidR="00012917" w:rsidRPr="00A66099" w:rsidRDefault="00EC4C87" w:rsidP="00A6609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 w:rsidRPr="00A66099">
              <w:t xml:space="preserve">Functional Cost </w:t>
            </w:r>
            <w:r w:rsidR="00A66099" w:rsidRPr="00A66099">
              <w:t xml:space="preserve">Model </w:t>
            </w:r>
            <w:r w:rsidRPr="00A66099">
              <w:t>by Prefix</w:t>
            </w:r>
            <w:r w:rsidR="00800B59" w:rsidRPr="00A66099">
              <w:t xml:space="preserve"> </w:t>
            </w:r>
            <w:r w:rsidR="00A66099">
              <w:t>(</w:t>
            </w:r>
            <w:r w:rsidR="00AD7BD3">
              <w:t>Total Expense</w:t>
            </w:r>
            <w:r w:rsidR="00BC4159">
              <w:t xml:space="preserve"> tab</w:t>
            </w:r>
            <w:r w:rsidR="00A66099">
              <w:t>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EBE1" w14:textId="4E600C46" w:rsidR="00012917" w:rsidRDefault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>Decreased</w:t>
            </w:r>
            <w:r w:rsidR="00800B59">
              <w:t xml:space="preserve"> 10% or more over the last 3 years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CBB7" w14:textId="77777777" w:rsidR="00012917" w:rsidRDefault="00800B59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EF11" w14:textId="0084E844" w:rsidR="00012917" w:rsidRDefault="00AD7BD3" w:rsidP="00E75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>Increased</w:t>
            </w:r>
            <w:r w:rsidR="00800B59">
              <w:t xml:space="preserve"> 10% or more over the last 3 years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32DE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6ABB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AD7BD3" w14:paraId="34B437AD" w14:textId="77777777" w:rsidTr="00E75827">
        <w:trPr>
          <w:trHeight w:val="876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605D" w14:textId="72CCDD05" w:rsidR="00AD7BD3" w:rsidRPr="00A66099" w:rsidRDefault="00AD7BD3" w:rsidP="00AD7BD3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 w:rsidRPr="00A66099">
              <w:t xml:space="preserve">Functional Cost Model by Prefix </w:t>
            </w:r>
            <w:r>
              <w:t>(Revenue tab)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BB9B" w14:textId="6F59451A" w:rsidR="00AD7BD3" w:rsidRDefault="00AD7BD3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Increased 10% or more over the last 3 years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11C3" w14:textId="4EBCE1D1" w:rsidR="00AD7BD3" w:rsidRDefault="00AD7BD3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2142" w14:textId="565C2602" w:rsidR="00AD7BD3" w:rsidRDefault="00FA0B45" w:rsidP="00E75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>Decreased</w:t>
            </w:r>
            <w:r w:rsidR="00AD7BD3">
              <w:t xml:space="preserve"> 10% or more over the last 3 years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BC64" w14:textId="77777777" w:rsidR="00AD7BD3" w:rsidRDefault="00AD7BD3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12E1" w14:textId="77777777" w:rsidR="00AD7BD3" w:rsidRDefault="00AD7BD3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</w:p>
        </w:tc>
      </w:tr>
      <w:tr w:rsidR="00AD7BD3" w14:paraId="7431E30E" w14:textId="77777777" w:rsidTr="00E75827">
        <w:trPr>
          <w:trHeight w:val="876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11E6" w14:textId="3E0F2BC8" w:rsidR="00AD7BD3" w:rsidRPr="00A66099" w:rsidRDefault="00AD7BD3" w:rsidP="00AD7BD3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 w:rsidRPr="00A66099">
              <w:t xml:space="preserve">Functional Cost Model by Prefix </w:t>
            </w:r>
            <w:r>
              <w:t>(Total Expense tab)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88E1" w14:textId="334C8D8E" w:rsidR="00AD7BD3" w:rsidRDefault="00AD7BD3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Decreased 10% or more over the last 3 years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2855" w14:textId="492A1420" w:rsidR="00AD7BD3" w:rsidRDefault="00AD7BD3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Remained steady over the last 3 years (less than 10% increase and less than 10% decrease)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23D0" w14:textId="0CE4CC75" w:rsidR="00AD7BD3" w:rsidRDefault="00FA0B45" w:rsidP="00E758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>Increased</w:t>
            </w:r>
            <w:r w:rsidR="00AD7BD3">
              <w:t xml:space="preserve"> 10% or more over the last 3 years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C1B8" w14:textId="77777777" w:rsidR="00AD7BD3" w:rsidRDefault="00AD7BD3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A3E8" w14:textId="77777777" w:rsidR="00AD7BD3" w:rsidRDefault="00AD7BD3" w:rsidP="00AD7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</w:p>
        </w:tc>
      </w:tr>
    </w:tbl>
    <w:p w14:paraId="4B20BFFF" w14:textId="77777777" w:rsidR="002122B9" w:rsidRDefault="00212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3896"/>
        </w:tabs>
        <w:spacing w:after="42" w:line="259" w:lineRule="auto"/>
        <w:ind w:left="0" w:firstLine="0"/>
      </w:pPr>
    </w:p>
    <w:p w14:paraId="1E9E7AB5" w14:textId="2F7A202F" w:rsidR="00012917" w:rsidRDefault="00212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enter" w:pos="3896"/>
        </w:tabs>
        <w:spacing w:after="42" w:line="259" w:lineRule="auto"/>
        <w:ind w:left="0" w:firstLine="0"/>
      </w:pPr>
      <w:r>
        <w:t>Comments:</w:t>
      </w:r>
    </w:p>
    <w:p w14:paraId="40D63F61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4388" w:type="dxa"/>
        <w:tblInd w:w="6" w:type="dxa"/>
        <w:tblCellMar>
          <w:top w:w="5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3291"/>
        <w:gridCol w:w="3199"/>
        <w:gridCol w:w="3197"/>
        <w:gridCol w:w="3197"/>
        <w:gridCol w:w="1504"/>
      </w:tblGrid>
      <w:tr w:rsidR="00012917" w14:paraId="25ED90EA" w14:textId="77777777">
        <w:trPr>
          <w:trHeight w:val="260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A4CF8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Goals and Trends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7B30B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38" w:firstLine="0"/>
              <w:jc w:val="center"/>
            </w:pPr>
            <w:r>
              <w:t xml:space="preserve">Excellent (3)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C6484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38" w:firstLine="0"/>
              <w:jc w:val="center"/>
            </w:pPr>
            <w:r>
              <w:t xml:space="preserve">Moderate (2)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90CA6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39" w:firstLine="0"/>
              <w:jc w:val="center"/>
            </w:pPr>
            <w:r>
              <w:t xml:space="preserve">Poor (1)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6F6FA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37" w:firstLine="0"/>
              <w:jc w:val="center"/>
            </w:pPr>
            <w:r>
              <w:t xml:space="preserve">Score </w:t>
            </w:r>
          </w:p>
        </w:tc>
      </w:tr>
      <w:tr w:rsidR="00012917" w14:paraId="08916982" w14:textId="77777777">
        <w:trPr>
          <w:trHeight w:val="810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2E69" w14:textId="6DC2ED01" w:rsidR="00012917" w:rsidRDefault="00800B59" w:rsidP="00275EBF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>
              <w:t xml:space="preserve">Program goals and objectives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3DF9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has clearly defined goals that are articulated well and linked to the assessment plan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4C68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has goals that are either vague or not linked to the assessment plan.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E82D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has no stated goals or the goals are not linked to the assessment plan.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019A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12917" w14:paraId="346F6534" w14:textId="77777777">
        <w:trPr>
          <w:trHeight w:val="770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5DAB" w14:textId="5454937E" w:rsidR="00012917" w:rsidRDefault="00800B59" w:rsidP="00275EBF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>
              <w:t xml:space="preserve">Opportunities or emerging trends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40DD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13" w:firstLine="0"/>
            </w:pPr>
            <w:r>
              <w:t xml:space="preserve">The program demonstrates a good knowledge of the emerging trends in the field.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2CA9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demonstrates a moderate understanding of the emerging trends in the field.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2915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11" w:firstLine="0"/>
            </w:pPr>
            <w:r>
              <w:t xml:space="preserve">The program demonstrates no knowledge of the emerging trends in the field.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F4BA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12917" w14:paraId="7A93878F" w14:textId="77777777">
        <w:trPr>
          <w:trHeight w:val="76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495E" w14:textId="79804AA6" w:rsidR="00012917" w:rsidRDefault="00800B59" w:rsidP="00275EBF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>
              <w:lastRenderedPageBreak/>
              <w:t xml:space="preserve">Capitalizing on trends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6DF2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discusses effective ways they are capitalizing on the emerging trends.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ABBE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discusses how they could capitalize on the emerging trends.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4ECC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does not identify ways to capitalize on emerging trends.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B97B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12917" w14:paraId="65B49EE6" w14:textId="77777777">
        <w:trPr>
          <w:trHeight w:val="1022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7E07" w14:textId="11F2E8F4" w:rsidR="00012917" w:rsidRDefault="00800B59" w:rsidP="00275EBF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>
              <w:t xml:space="preserve">Mitigation of key challenges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766E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discusses effective ways they are mitigating key challenges and speaks to the results.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5A63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discusses how they could mitigate key challenges.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6E8C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does not identify key challenges or how they could be mitigated.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9798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5D40C0FC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p w14:paraId="7F2C2739" w14:textId="6774448B" w:rsidR="002122B9" w:rsidRDefault="00212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>Comments:</w:t>
      </w:r>
    </w:p>
    <w:p w14:paraId="488F4AE3" w14:textId="77777777" w:rsidR="002122B9" w:rsidRDefault="00212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</w:p>
    <w:tbl>
      <w:tblPr>
        <w:tblStyle w:val="TableGrid"/>
        <w:tblW w:w="14388" w:type="dxa"/>
        <w:tblInd w:w="6" w:type="dxa"/>
        <w:tblCellMar>
          <w:top w:w="5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291"/>
        <w:gridCol w:w="3103"/>
        <w:gridCol w:w="3293"/>
        <w:gridCol w:w="3197"/>
        <w:gridCol w:w="1504"/>
      </w:tblGrid>
      <w:tr w:rsidR="00012917" w14:paraId="2A0014E2" w14:textId="77777777" w:rsidTr="00EA5460">
        <w:trPr>
          <w:trHeight w:val="420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85ED0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52" w:firstLine="0"/>
              <w:jc w:val="center"/>
            </w:pPr>
            <w:r>
              <w:t xml:space="preserve">Students and Learning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A0E2E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49" w:firstLine="0"/>
              <w:jc w:val="center"/>
            </w:pPr>
            <w:r>
              <w:t xml:space="preserve">Excellent (3)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ED287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49" w:firstLine="0"/>
              <w:jc w:val="center"/>
            </w:pPr>
            <w:r>
              <w:t xml:space="preserve">Moderate (2)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F5A63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50" w:firstLine="0"/>
              <w:jc w:val="center"/>
            </w:pPr>
            <w:r>
              <w:t xml:space="preserve">Poor (1)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B5D89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48" w:firstLine="0"/>
              <w:jc w:val="center"/>
            </w:pPr>
            <w:r>
              <w:t xml:space="preserve">Score </w:t>
            </w:r>
          </w:p>
        </w:tc>
      </w:tr>
      <w:tr w:rsidR="00012917" w14:paraId="6E03248E" w14:textId="77777777" w:rsidTr="00EA5460">
        <w:trPr>
          <w:trHeight w:val="1024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D9D9" w14:textId="2C7119CA" w:rsidR="00012917" w:rsidRDefault="00800B59" w:rsidP="00275EBF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>
              <w:t xml:space="preserve">Forecast Enrollment Trends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3911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The program discusses enrollment changes (both increases and decreases) and plans for the future. 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15D7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The program discusses enrollment changes, but has no plans for the future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30D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The program does not discuss enrollment changes and has no plans for the future.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2CA2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12917" w14:paraId="67894D1E" w14:textId="77777777" w:rsidTr="00EA5460">
        <w:trPr>
          <w:trHeight w:val="1526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5666" w14:textId="5BFE5CDE" w:rsidR="00012917" w:rsidRDefault="00800B59" w:rsidP="00861D0F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right="157"/>
            </w:pPr>
            <w:r>
              <w:t xml:space="preserve">Curricular Changes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2F72" w14:textId="33802BBB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Program uses data and </w:t>
            </w:r>
            <w:r w:rsidR="00EA5460">
              <w:t>broad-based</w:t>
            </w:r>
            <w:r>
              <w:t xml:space="preserve"> input from stakeholder groups, accreditors, and peers to develop strategic goals; desired effects are clearly articulated; and progress is tracked.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D838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Program uses data and input from a broad range of groups to develop strategic goals; effects are clearly articulated, but progress is not tracked.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B1D6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Program does not cite any strategic goals for the next five years; program does not cite any substantial progress in meeting stated goals OR does not have any existing stated goals.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240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12917" w14:paraId="1B886715" w14:textId="77777777" w:rsidTr="00EA5460">
        <w:trPr>
          <w:trHeight w:val="768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76C1" w14:textId="0A8E927C" w:rsidR="00012917" w:rsidRDefault="00800B59" w:rsidP="00861D0F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36" w:lineRule="auto"/>
            </w:pPr>
            <w:r>
              <w:t xml:space="preserve">Employment or Graduate School Placement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C8BE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Strong metrics are included to support the narrative about placements. 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F9D1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Evidence is anecdotal or minimal metrics are included to support the narrative about placements. 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83C5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No evidence to support the narrative about placements is provided.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E2ED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4B3D6E9" w14:textId="62FBF480" w:rsidR="00012917" w:rsidRDefault="00800B59" w:rsidP="00212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55" w:line="259" w:lineRule="auto"/>
        <w:ind w:left="0" w:firstLine="0"/>
        <w:jc w:val="both"/>
      </w:pPr>
      <w:r>
        <w:t xml:space="preserve"> </w:t>
      </w:r>
    </w:p>
    <w:p w14:paraId="324895AB" w14:textId="5F806652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  <w:r w:rsidR="002122B9">
        <w:t>Comments:</w:t>
      </w:r>
    </w:p>
    <w:p w14:paraId="05702FF2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4388" w:type="dxa"/>
        <w:tblInd w:w="6" w:type="dxa"/>
        <w:tblCellMar>
          <w:top w:w="55" w:type="dxa"/>
          <w:left w:w="107" w:type="dxa"/>
          <w:bottom w:w="4" w:type="dxa"/>
          <w:right w:w="69" w:type="dxa"/>
        </w:tblCellMar>
        <w:tblLook w:val="04A0" w:firstRow="1" w:lastRow="0" w:firstColumn="1" w:lastColumn="0" w:noHBand="0" w:noVBand="1"/>
      </w:tblPr>
      <w:tblGrid>
        <w:gridCol w:w="3291"/>
        <w:gridCol w:w="3103"/>
        <w:gridCol w:w="3293"/>
        <w:gridCol w:w="3197"/>
        <w:gridCol w:w="1504"/>
      </w:tblGrid>
      <w:tr w:rsidR="00012917" w14:paraId="3A22B808" w14:textId="77777777" w:rsidTr="00A66099">
        <w:trPr>
          <w:trHeight w:val="672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EC0452" w14:textId="77777777" w:rsidR="00012917" w:rsidRDefault="00800B59" w:rsidP="00A660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Human, Physical, and Financial Resources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E9A79" w14:textId="48CA6E8E" w:rsidR="00012917" w:rsidRDefault="00800B59" w:rsidP="00A660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35" w:firstLine="0"/>
              <w:jc w:val="center"/>
            </w:pPr>
            <w:r>
              <w:t>Excellent (3)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9083E" w14:textId="190007EB" w:rsidR="00012917" w:rsidRDefault="00800B59" w:rsidP="00A660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35" w:firstLine="0"/>
              <w:jc w:val="center"/>
            </w:pPr>
            <w:r>
              <w:t>Moderate (2)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E2F22" w14:textId="313C7D0B" w:rsidR="00012917" w:rsidRDefault="00800B59" w:rsidP="00A660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36" w:firstLine="0"/>
              <w:jc w:val="center"/>
            </w:pPr>
            <w:r>
              <w:t>Poor (1)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2E186" w14:textId="7895CB16" w:rsidR="00012917" w:rsidRDefault="00800B59" w:rsidP="00A660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right="34" w:firstLine="0"/>
              <w:jc w:val="center"/>
            </w:pPr>
            <w:r>
              <w:t>Score</w:t>
            </w:r>
          </w:p>
        </w:tc>
      </w:tr>
      <w:tr w:rsidR="00012917" w14:paraId="67343207" w14:textId="77777777" w:rsidTr="00EA5460">
        <w:trPr>
          <w:trHeight w:val="1276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964" w14:textId="753D63BE" w:rsidR="00012917" w:rsidRDefault="00800B59" w:rsidP="00861D0F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>
              <w:t xml:space="preserve">Faculty Instructional Expertise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7D0B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24" w:firstLine="0"/>
            </w:pPr>
            <w:r>
              <w:t xml:space="preserve">The faculty instructional expertise aligns with programmatic needs. Faculty overloads are sparsely utilized to meet course needs.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CF0F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faculty instructional expertise may not align well with programmatic needs and/or overloads are regularly utilized to meet course needs.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57E8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faculty instructional expertise is not aligned well with programmatic needs.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083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12917" w14:paraId="18E351A1" w14:textId="77777777" w:rsidTr="00EA5460">
        <w:trPr>
          <w:trHeight w:val="1022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1879" w14:textId="5E4DC51D" w:rsidR="00012917" w:rsidRDefault="00800B59" w:rsidP="00861D0F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>
              <w:lastRenderedPageBreak/>
              <w:t xml:space="preserve">Staff Expertise </w:t>
            </w:r>
            <w:r w:rsidR="00A66099">
              <w:t>(when applicable)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C34E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staff expertise works seamlessly with the program to support and uplift student learning.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7003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right="306" w:firstLine="0"/>
              <w:jc w:val="both"/>
            </w:pPr>
            <w:r>
              <w:t xml:space="preserve">The staff expertise somewhat aligns with the support needs of the program.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36A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There is a misalignment between staff expertise and the support needs of the program.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F88F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12917" w14:paraId="10DD30C2" w14:textId="77777777" w:rsidTr="00EA5460">
        <w:trPr>
          <w:trHeight w:val="1022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CAAD" w14:textId="10804D36" w:rsidR="00012917" w:rsidRDefault="00800B59" w:rsidP="00861D0F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>
              <w:t xml:space="preserve">Facilities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1475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facilities and equipment are adequate and appropriate for students.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9C87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facilities and equipment are antiquated, but the program has managed to work around limitations.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C095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facilities and equipment are antiquated and negatively impact student recruitment and learning.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F04B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012917" w14:paraId="4B772B5E" w14:textId="77777777" w:rsidTr="00EA5460">
        <w:trPr>
          <w:trHeight w:val="1274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4F35" w14:textId="2AB1DFC5" w:rsidR="00012917" w:rsidRDefault="00800B59" w:rsidP="00861D0F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</w:pPr>
            <w:r>
              <w:t xml:space="preserve">Continued Fiscal Health 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57BC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provides a coherent rationale and strong evidence to indicate a high probability of sound fiscal health.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729B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provides a rationale and some evidence to indicate a high probability of sound fiscal health.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7DB3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The program does not provide a rationale or evidence, OR the fiscal outlook is negative.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0A41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35C78120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p w14:paraId="41B18982" w14:textId="2700167C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  <w:r w:rsidR="002122B9">
        <w:t>Comments:</w:t>
      </w:r>
    </w:p>
    <w:p w14:paraId="52F514BF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p w14:paraId="1F29B908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p w14:paraId="7CF91B89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p w14:paraId="7BA263B5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5285" w:type="dxa"/>
        <w:tblInd w:w="7831" w:type="dxa"/>
        <w:tblCellMar>
          <w:top w:w="55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979"/>
        <w:gridCol w:w="1306"/>
      </w:tblGrid>
      <w:tr w:rsidR="00012917" w14:paraId="0E7D02B3" w14:textId="77777777">
        <w:trPr>
          <w:trHeight w:val="262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0A38" w14:textId="77777777" w:rsidR="00012917" w:rsidRPr="00A66099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b/>
                <w:bCs/>
              </w:rPr>
            </w:pPr>
            <w:r w:rsidRPr="00A66099">
              <w:rPr>
                <w:b/>
                <w:bCs/>
              </w:rPr>
              <w:t xml:space="preserve">Sub-scores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DCBD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3" w:firstLine="0"/>
            </w:pPr>
            <w:r>
              <w:t xml:space="preserve"> </w:t>
            </w:r>
          </w:p>
        </w:tc>
      </w:tr>
      <w:tr w:rsidR="00012917" w14:paraId="4B838B18" w14:textId="77777777">
        <w:trPr>
          <w:trHeight w:val="26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3DCE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Program Student Data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EB30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12917" w14:paraId="7A2269B0" w14:textId="77777777">
        <w:trPr>
          <w:trHeight w:val="262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FEE6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Program Financial Data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599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12917" w14:paraId="6915697F" w14:textId="77777777">
        <w:trPr>
          <w:trHeight w:val="26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6F90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Goals and Trends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AD11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12917" w14:paraId="6B2439A5" w14:textId="77777777">
        <w:trPr>
          <w:trHeight w:val="26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24CB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Students and Learning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305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12917" w14:paraId="62E65B2F" w14:textId="77777777">
        <w:trPr>
          <w:trHeight w:val="26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9422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</w:pPr>
            <w:r>
              <w:t xml:space="preserve">Human, Physical, and Financial Resources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BD4F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12917" w14:paraId="0D8C6A20" w14:textId="77777777">
        <w:trPr>
          <w:trHeight w:val="26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707C" w14:textId="77777777" w:rsidR="00012917" w:rsidRPr="00EA5460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0" w:firstLine="0"/>
              <w:rPr>
                <w:b/>
                <w:bCs/>
              </w:rPr>
            </w:pPr>
            <w:r w:rsidRPr="00EA5460">
              <w:rPr>
                <w:b/>
                <w:bCs/>
              </w:rPr>
              <w:t xml:space="preserve">Total Score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F1B5" w14:textId="77777777" w:rsidR="00012917" w:rsidRDefault="00800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59" w:lineRule="auto"/>
              <w:ind w:left="4" w:firstLine="0"/>
            </w:pPr>
            <w:r>
              <w:t xml:space="preserve"> </w:t>
            </w:r>
          </w:p>
        </w:tc>
      </w:tr>
    </w:tbl>
    <w:p w14:paraId="5ECFF808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p w14:paraId="6B6B43C3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p w14:paraId="0D138F85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p w14:paraId="4275A893" w14:textId="77777777" w:rsidR="00012917" w:rsidRDefault="00800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firstLine="0"/>
        <w:jc w:val="both"/>
      </w:pPr>
      <w:r>
        <w:t xml:space="preserve"> </w:t>
      </w:r>
    </w:p>
    <w:sectPr w:rsidR="00012917">
      <w:pgSz w:w="15840" w:h="12240" w:orient="landscape"/>
      <w:pgMar w:top="726" w:right="706" w:bottom="86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C9F"/>
    <w:multiLevelType w:val="hybridMultilevel"/>
    <w:tmpl w:val="E61678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D6D26"/>
    <w:multiLevelType w:val="hybridMultilevel"/>
    <w:tmpl w:val="6CCC5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E5D36"/>
    <w:multiLevelType w:val="hybridMultilevel"/>
    <w:tmpl w:val="702E1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72463"/>
    <w:multiLevelType w:val="hybridMultilevel"/>
    <w:tmpl w:val="E61678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B649A"/>
    <w:multiLevelType w:val="hybridMultilevel"/>
    <w:tmpl w:val="FB3A6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B7799"/>
    <w:multiLevelType w:val="hybridMultilevel"/>
    <w:tmpl w:val="F9524A78"/>
    <w:lvl w:ilvl="0" w:tplc="742090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CF7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8EFF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2E47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E9F5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E020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090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6083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9EEE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8429EB"/>
    <w:multiLevelType w:val="hybridMultilevel"/>
    <w:tmpl w:val="D39CB812"/>
    <w:lvl w:ilvl="0" w:tplc="0409000F">
      <w:start w:val="1"/>
      <w:numFmt w:val="decimal"/>
      <w:lvlText w:val="%1."/>
      <w:lvlJc w:val="lef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num w:numId="1" w16cid:durableId="924848671">
    <w:abstractNumId w:val="5"/>
  </w:num>
  <w:num w:numId="2" w16cid:durableId="1887788737">
    <w:abstractNumId w:val="1"/>
  </w:num>
  <w:num w:numId="3" w16cid:durableId="1036153397">
    <w:abstractNumId w:val="4"/>
  </w:num>
  <w:num w:numId="4" w16cid:durableId="1759903977">
    <w:abstractNumId w:val="2"/>
  </w:num>
  <w:num w:numId="5" w16cid:durableId="376315974">
    <w:abstractNumId w:val="3"/>
  </w:num>
  <w:num w:numId="6" w16cid:durableId="310982023">
    <w:abstractNumId w:val="0"/>
  </w:num>
  <w:num w:numId="7" w16cid:durableId="688291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17"/>
    <w:rsid w:val="00012917"/>
    <w:rsid w:val="00045710"/>
    <w:rsid w:val="002122B9"/>
    <w:rsid w:val="00263830"/>
    <w:rsid w:val="00267AEE"/>
    <w:rsid w:val="00275EBF"/>
    <w:rsid w:val="002F5350"/>
    <w:rsid w:val="003C7702"/>
    <w:rsid w:val="003E3035"/>
    <w:rsid w:val="00455EE2"/>
    <w:rsid w:val="004756F7"/>
    <w:rsid w:val="005E2607"/>
    <w:rsid w:val="0060641D"/>
    <w:rsid w:val="006B608C"/>
    <w:rsid w:val="00800B59"/>
    <w:rsid w:val="00861D0F"/>
    <w:rsid w:val="00933666"/>
    <w:rsid w:val="00A66099"/>
    <w:rsid w:val="00AD7BD3"/>
    <w:rsid w:val="00BC4159"/>
    <w:rsid w:val="00C74432"/>
    <w:rsid w:val="00E276D7"/>
    <w:rsid w:val="00E75827"/>
    <w:rsid w:val="00E830F0"/>
    <w:rsid w:val="00EA5460"/>
    <w:rsid w:val="00EC4C87"/>
    <w:rsid w:val="00EE3DF2"/>
    <w:rsid w:val="00F0271B"/>
    <w:rsid w:val="00FA0B45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E8ED9"/>
  <w15:docId w15:val="{7C176AC9-180B-424C-9F8C-C4C6FAF4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8" w:space="0" w:color="042433"/>
        <w:left w:val="single" w:sz="8" w:space="0" w:color="042433"/>
        <w:bottom w:val="single" w:sz="8" w:space="0" w:color="042433"/>
        <w:right w:val="single" w:sz="8" w:space="0" w:color="042433"/>
      </w:pBdr>
      <w:shd w:val="clear" w:color="auto" w:fill="FFFF00"/>
      <w:spacing w:after="6" w:line="255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A54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onwealthu.edu/offices-directory/institutional-effectiveness/oie-assessment/program-assessment" TargetMode="External"/><Relationship Id="rId5" Type="http://schemas.openxmlformats.org/officeDocument/2006/relationships/hyperlink" Target="https://commonwealthu-my.sharepoint.com/personal/mkiec_commonwealthu_edu/Documents/Documents/Programs%20in%20Review/Data%20is%20located%20at%20the%20Institutional%20Research%20dashboards%20at%20https:/www.commonwealthu.edu/offices-directory/institutional-effectiveness/institutional-research%20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OCU Academic Program Review 2024-2025 Rubric Updated (9-30-24).docx</vt:lpstr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OCU Academic Program Review 2024-2025 Rubric Updated (9-30-24).docx</dc:title>
  <dc:subject/>
  <dc:creator>Adam Ryburn</dc:creator>
  <cp:keywords/>
  <cp:lastModifiedBy>Kiec, Michelle</cp:lastModifiedBy>
  <cp:revision>17</cp:revision>
  <dcterms:created xsi:type="dcterms:W3CDTF">2025-09-17T02:25:00Z</dcterms:created>
  <dcterms:modified xsi:type="dcterms:W3CDTF">2025-09-23T16:17:00Z</dcterms:modified>
</cp:coreProperties>
</file>