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19DA" w:rsidRPr="002F3A0E" w:rsidRDefault="00D719DA" w:rsidP="00D719DA">
      <w:pPr>
        <w:pStyle w:val="Heading1"/>
        <w:spacing w:before="0" w:beforeAutospacing="0" w:after="0" w:afterAutospacing="0"/>
        <w:jc w:val="center"/>
        <w:rPr>
          <w:sz w:val="28"/>
          <w:szCs w:val="28"/>
        </w:rPr>
      </w:pPr>
      <w:r w:rsidRPr="002F3A0E">
        <w:rPr>
          <w:sz w:val="28"/>
          <w:szCs w:val="28"/>
        </w:rPr>
        <w:t>Commonwealth University Strategic Plan Refresh</w:t>
      </w:r>
    </w:p>
    <w:p w:rsidR="00D719DA" w:rsidRPr="002F3A0E" w:rsidRDefault="00D719DA" w:rsidP="00D719DA">
      <w:pPr>
        <w:pStyle w:val="Heading2"/>
        <w:spacing w:before="0" w:beforeAutospacing="0" w:after="0" w:afterAutospacing="0"/>
        <w:jc w:val="center"/>
        <w:rPr>
          <w:sz w:val="28"/>
          <w:szCs w:val="28"/>
        </w:rPr>
      </w:pPr>
      <w:r w:rsidRPr="002F3A0E">
        <w:rPr>
          <w:sz w:val="28"/>
          <w:szCs w:val="28"/>
        </w:rPr>
        <w:t>Phase I Summary</w:t>
      </w:r>
    </w:p>
    <w:p w:rsidR="00D719DA" w:rsidRPr="002F3A0E" w:rsidRDefault="00710B95" w:rsidP="00D719DA">
      <w:pPr>
        <w:pStyle w:val="Heading3"/>
        <w:spacing w:before="0" w:beforeAutospacing="0" w:after="0" w:afterAutospacing="0"/>
        <w:jc w:val="center"/>
        <w:rPr>
          <w:sz w:val="28"/>
          <w:szCs w:val="28"/>
        </w:rPr>
      </w:pPr>
      <w:r>
        <w:rPr>
          <w:sz w:val="28"/>
          <w:szCs w:val="28"/>
        </w:rPr>
        <w:t>August</w:t>
      </w:r>
      <w:r w:rsidR="00D719DA" w:rsidRPr="002F3A0E">
        <w:rPr>
          <w:sz w:val="28"/>
          <w:szCs w:val="28"/>
        </w:rPr>
        <w:t xml:space="preserve"> 2026</w:t>
      </w:r>
    </w:p>
    <w:p w:rsidR="00D719DA" w:rsidRPr="009B26BC" w:rsidRDefault="00D719DA" w:rsidP="00D719DA">
      <w:pPr>
        <w:spacing w:after="0" w:line="240" w:lineRule="auto"/>
        <w:outlineLvl w:val="0"/>
        <w:rPr>
          <w:rFonts w:ascii="Times New Roman" w:eastAsia="Times New Roman" w:hAnsi="Times New Roman" w:cs="Times New Roman"/>
          <w:b/>
          <w:bCs/>
          <w:kern w:val="36"/>
          <w:sz w:val="32"/>
          <w:szCs w:val="32"/>
        </w:rPr>
      </w:pPr>
      <w:r w:rsidRPr="009B26BC">
        <w:rPr>
          <w:rFonts w:ascii="Times New Roman" w:eastAsia="Times New Roman" w:hAnsi="Times New Roman" w:cs="Times New Roman"/>
          <w:b/>
          <w:bCs/>
          <w:kern w:val="36"/>
          <w:sz w:val="32"/>
          <w:szCs w:val="32"/>
        </w:rPr>
        <w:t>Purpose</w:t>
      </w:r>
    </w:p>
    <w:p w:rsidR="00D719DA" w:rsidRPr="00D719DA" w:rsidRDefault="00E5329A" w:rsidP="00D719DA">
      <w:pPr>
        <w:numPr>
          <w:ilvl w:val="0"/>
          <w:numId w:val="1"/>
        </w:numPr>
        <w:spacing w:after="0" w:line="240" w:lineRule="auto"/>
        <w:rPr>
          <w:rFonts w:ascii="Times New Roman" w:eastAsia="Times New Roman" w:hAnsi="Times New Roman" w:cs="Times New Roman"/>
        </w:rPr>
      </w:pPr>
      <w:r w:rsidRPr="00E5329A">
        <w:rPr>
          <w:rFonts w:ascii="Times New Roman" w:eastAsia="Times New Roman" w:hAnsi="Times New Roman" w:cs="Times New Roman"/>
        </w:rPr>
        <w:t xml:space="preserve">This summary documents the work completed during Phase I of the Commonwealth University Strategic Plan Refresh and presents the key </w:t>
      </w:r>
      <w:r w:rsidR="00D63B14">
        <w:rPr>
          <w:rFonts w:ascii="Times New Roman" w:eastAsia="Times New Roman" w:hAnsi="Times New Roman" w:cs="Times New Roman"/>
        </w:rPr>
        <w:t xml:space="preserve">findings and </w:t>
      </w:r>
      <w:r w:rsidRPr="00E5329A">
        <w:rPr>
          <w:rFonts w:ascii="Times New Roman" w:eastAsia="Times New Roman" w:hAnsi="Times New Roman" w:cs="Times New Roman"/>
        </w:rPr>
        <w:t>emerging</w:t>
      </w:r>
      <w:r w:rsidR="00D63B14">
        <w:rPr>
          <w:rFonts w:ascii="Times New Roman" w:eastAsia="Times New Roman" w:hAnsi="Times New Roman" w:cs="Times New Roman"/>
        </w:rPr>
        <w:t xml:space="preserve"> themes</w:t>
      </w:r>
      <w:r w:rsidRPr="00E5329A">
        <w:rPr>
          <w:rFonts w:ascii="Times New Roman" w:eastAsia="Times New Roman" w:hAnsi="Times New Roman" w:cs="Times New Roman"/>
        </w:rPr>
        <w:t xml:space="preserve"> from institutional document and data review and stakeholder engagement. These findings will provide the foundation for the next phase of the refresh, including consideration of potential refinements to the current Strategic Plan.</w:t>
      </w:r>
    </w:p>
    <w:p w:rsidR="00D719DA" w:rsidRPr="00D719DA" w:rsidRDefault="00D719DA" w:rsidP="00D719DA">
      <w:pPr>
        <w:spacing w:after="0" w:line="240" w:lineRule="auto"/>
        <w:rPr>
          <w:rFonts w:ascii="Times New Roman" w:eastAsia="Times New Roman" w:hAnsi="Times New Roman" w:cs="Times New Roman"/>
        </w:rPr>
      </w:pPr>
    </w:p>
    <w:p w:rsidR="00D719DA" w:rsidRPr="009B26BC" w:rsidRDefault="00D719DA" w:rsidP="00D719DA">
      <w:pPr>
        <w:spacing w:after="0" w:line="240" w:lineRule="auto"/>
        <w:outlineLvl w:val="0"/>
        <w:rPr>
          <w:rFonts w:ascii="Times New Roman" w:eastAsia="Times New Roman" w:hAnsi="Times New Roman" w:cs="Times New Roman"/>
          <w:b/>
          <w:bCs/>
          <w:kern w:val="36"/>
          <w:sz w:val="32"/>
          <w:szCs w:val="32"/>
        </w:rPr>
      </w:pPr>
      <w:r w:rsidRPr="009B26BC">
        <w:rPr>
          <w:rFonts w:ascii="Times New Roman" w:eastAsia="Times New Roman" w:hAnsi="Times New Roman" w:cs="Times New Roman"/>
          <w:b/>
          <w:bCs/>
          <w:kern w:val="36"/>
          <w:sz w:val="32"/>
          <w:szCs w:val="32"/>
        </w:rPr>
        <w:t>Phase I Work Completed</w:t>
      </w:r>
    </w:p>
    <w:p w:rsidR="00D719DA" w:rsidRPr="00D719DA" w:rsidRDefault="00D719DA" w:rsidP="00D719DA">
      <w:pPr>
        <w:spacing w:after="0" w:line="240" w:lineRule="auto"/>
        <w:rPr>
          <w:rFonts w:ascii="Times New Roman" w:eastAsia="Times New Roman" w:hAnsi="Times New Roman" w:cs="Times New Roman"/>
          <w:b/>
        </w:rPr>
      </w:pPr>
      <w:r w:rsidRPr="00D719DA">
        <w:rPr>
          <w:rFonts w:ascii="Times New Roman" w:eastAsia="Times New Roman" w:hAnsi="Times New Roman" w:cs="Times New Roman"/>
          <w:b/>
        </w:rPr>
        <w:t>Strategic Direction</w:t>
      </w:r>
    </w:p>
    <w:p w:rsidR="00D719DA" w:rsidRPr="00D719DA" w:rsidRDefault="00027180" w:rsidP="00D719DA">
      <w:pPr>
        <w:numPr>
          <w:ilvl w:val="0"/>
          <w:numId w:val="2"/>
        </w:numPr>
        <w:spacing w:after="0" w:line="240" w:lineRule="auto"/>
        <w:rPr>
          <w:rFonts w:ascii="Times New Roman" w:eastAsia="Times New Roman" w:hAnsi="Times New Roman" w:cs="Times New Roman"/>
        </w:rPr>
      </w:pPr>
      <w:r w:rsidRPr="00027180">
        <w:rPr>
          <w:rFonts w:ascii="Times New Roman" w:eastAsia="Times New Roman" w:hAnsi="Times New Roman" w:cs="Times New Roman"/>
        </w:rPr>
        <w:t>Confirmed a strategic plan refresh approach focused on refinement, prioritization, and alignment rather than wholesale redesign through endorsement by Cabinet and the Strategic Planning Committee.</w:t>
      </w:r>
    </w:p>
    <w:p w:rsidR="00D719DA" w:rsidRPr="00D719DA" w:rsidRDefault="00D719DA" w:rsidP="00D719DA">
      <w:pPr>
        <w:spacing w:after="0" w:line="240" w:lineRule="auto"/>
        <w:rPr>
          <w:rFonts w:ascii="Times New Roman" w:eastAsia="Times New Roman" w:hAnsi="Times New Roman" w:cs="Times New Roman"/>
          <w:b/>
        </w:rPr>
      </w:pPr>
      <w:r w:rsidRPr="00D719DA">
        <w:rPr>
          <w:rFonts w:ascii="Times New Roman" w:eastAsia="Times New Roman" w:hAnsi="Times New Roman" w:cs="Times New Roman"/>
          <w:b/>
        </w:rPr>
        <w:t>Document and Data Review</w:t>
      </w:r>
    </w:p>
    <w:p w:rsidR="00D719DA" w:rsidRPr="00027180" w:rsidRDefault="00D719DA" w:rsidP="00D719DA">
      <w:pPr>
        <w:numPr>
          <w:ilvl w:val="0"/>
          <w:numId w:val="2"/>
        </w:numPr>
        <w:spacing w:after="0" w:line="240" w:lineRule="auto"/>
        <w:rPr>
          <w:rFonts w:ascii="Times New Roman" w:eastAsia="Times New Roman" w:hAnsi="Times New Roman" w:cs="Times New Roman"/>
        </w:rPr>
      </w:pPr>
      <w:r w:rsidRPr="00027180">
        <w:rPr>
          <w:rFonts w:ascii="Times New Roman" w:eastAsia="Times New Roman" w:hAnsi="Times New Roman" w:cs="Times New Roman"/>
        </w:rPr>
        <w:t>Completed review and synthesis of key institutional planning, assessment, accreditation, enrollment, and performance documents, including the Climate Survey, Comprehensive Planning Process (CPP), DEI Student Achievement Analysis, IPEDS and enrollment data, MSCHE materials, NSSE 2025, PASSHE priorities, Strategic Plan Progress Reports, and other institutional reports and metrics.</w:t>
      </w:r>
    </w:p>
    <w:p w:rsidR="00D719DA" w:rsidRPr="00027180" w:rsidRDefault="00D719DA" w:rsidP="00D719DA">
      <w:pPr>
        <w:spacing w:after="0" w:line="240" w:lineRule="auto"/>
        <w:rPr>
          <w:rFonts w:ascii="Times New Roman" w:eastAsia="Times New Roman" w:hAnsi="Times New Roman" w:cs="Times New Roman"/>
          <w:b/>
        </w:rPr>
      </w:pPr>
      <w:r w:rsidRPr="00027180">
        <w:rPr>
          <w:rFonts w:ascii="Times New Roman" w:eastAsia="Times New Roman" w:hAnsi="Times New Roman" w:cs="Times New Roman"/>
          <w:b/>
        </w:rPr>
        <w:t>Stakeholder Engagement</w:t>
      </w:r>
    </w:p>
    <w:p w:rsidR="00D719DA" w:rsidRPr="00027180" w:rsidRDefault="00D719DA" w:rsidP="00D719DA">
      <w:pPr>
        <w:numPr>
          <w:ilvl w:val="0"/>
          <w:numId w:val="2"/>
        </w:numPr>
        <w:spacing w:after="0" w:line="240" w:lineRule="auto"/>
        <w:rPr>
          <w:rFonts w:ascii="Times New Roman" w:eastAsia="Times New Roman" w:hAnsi="Times New Roman" w:cs="Times New Roman"/>
        </w:rPr>
      </w:pPr>
      <w:r w:rsidRPr="00027180">
        <w:rPr>
          <w:rFonts w:ascii="Times New Roman" w:eastAsia="Times New Roman" w:hAnsi="Times New Roman" w:cs="Times New Roman"/>
        </w:rPr>
        <w:t xml:space="preserve">Conducted and summarized conversations </w:t>
      </w:r>
      <w:r w:rsidR="00DB3DCA">
        <w:rPr>
          <w:rFonts w:ascii="Times New Roman" w:eastAsia="Times New Roman" w:hAnsi="Times New Roman" w:cs="Times New Roman"/>
        </w:rPr>
        <w:t xml:space="preserve">in </w:t>
      </w:r>
      <w:r w:rsidRPr="00027180">
        <w:rPr>
          <w:rFonts w:ascii="Times New Roman" w:eastAsia="Times New Roman" w:hAnsi="Times New Roman" w:cs="Times New Roman"/>
        </w:rPr>
        <w:t xml:space="preserve">more than </w:t>
      </w:r>
      <w:r w:rsidR="00710B95">
        <w:rPr>
          <w:rFonts w:ascii="Times New Roman" w:eastAsia="Times New Roman" w:hAnsi="Times New Roman" w:cs="Times New Roman"/>
        </w:rPr>
        <w:t>3</w:t>
      </w:r>
      <w:r w:rsidR="00DB3DCA">
        <w:rPr>
          <w:rFonts w:ascii="Times New Roman" w:eastAsia="Times New Roman" w:hAnsi="Times New Roman" w:cs="Times New Roman"/>
        </w:rPr>
        <w:t>0 individual and small group</w:t>
      </w:r>
      <w:r w:rsidRPr="00027180">
        <w:rPr>
          <w:rFonts w:ascii="Times New Roman" w:eastAsia="Times New Roman" w:hAnsi="Times New Roman" w:cs="Times New Roman"/>
        </w:rPr>
        <w:t xml:space="preserve"> employee and community stakeholder</w:t>
      </w:r>
      <w:r w:rsidR="00811319">
        <w:rPr>
          <w:rFonts w:ascii="Times New Roman" w:eastAsia="Times New Roman" w:hAnsi="Times New Roman" w:cs="Times New Roman"/>
        </w:rPr>
        <w:t xml:space="preserve"> sessions, </w:t>
      </w:r>
      <w:r w:rsidRPr="00027180">
        <w:rPr>
          <w:rFonts w:ascii="Times New Roman" w:eastAsia="Times New Roman" w:hAnsi="Times New Roman" w:cs="Times New Roman"/>
        </w:rPr>
        <w:t>representing a range of roles, functions, campuses, and perspectives to better understand institutional strengths, opportunities, challenges, and priorities.</w:t>
      </w:r>
    </w:p>
    <w:p w:rsidR="00E5329A" w:rsidRPr="00E5329A" w:rsidRDefault="00E5329A" w:rsidP="00E5329A">
      <w:pPr>
        <w:pStyle w:val="ListParagraph"/>
        <w:numPr>
          <w:ilvl w:val="0"/>
          <w:numId w:val="2"/>
        </w:numPr>
        <w:spacing w:after="0" w:line="240" w:lineRule="auto"/>
        <w:rPr>
          <w:rFonts w:ascii="Times New Roman" w:eastAsia="Times New Roman" w:hAnsi="Times New Roman" w:cs="Times New Roman"/>
        </w:rPr>
      </w:pPr>
      <w:r w:rsidRPr="00E5329A">
        <w:rPr>
          <w:rFonts w:ascii="Times New Roman" w:eastAsia="Times New Roman" w:hAnsi="Times New Roman" w:cs="Times New Roman"/>
        </w:rPr>
        <w:t>Engaged institutional leadership, academic and administrative representatives, employee groups, students, unions, and community stakeholders to validate findings, identify gaps, and gather diverse perspectives.</w:t>
      </w:r>
    </w:p>
    <w:p w:rsidR="00027180" w:rsidRPr="00027180" w:rsidRDefault="00027180" w:rsidP="00027180">
      <w:pPr>
        <w:spacing w:after="0" w:line="240" w:lineRule="auto"/>
        <w:rPr>
          <w:rFonts w:ascii="Times New Roman" w:hAnsi="Times New Roman" w:cs="Times New Roman"/>
          <w:b/>
        </w:rPr>
      </w:pPr>
      <w:r w:rsidRPr="00027180">
        <w:rPr>
          <w:rFonts w:ascii="Times New Roman" w:hAnsi="Times New Roman" w:cs="Times New Roman"/>
          <w:b/>
        </w:rPr>
        <w:t>Theme Identification and Synthesis</w:t>
      </w:r>
    </w:p>
    <w:p w:rsidR="00D63B14" w:rsidRDefault="00E5329A" w:rsidP="00D63B14">
      <w:pPr>
        <w:pStyle w:val="ListParagraph"/>
        <w:numPr>
          <w:ilvl w:val="0"/>
          <w:numId w:val="7"/>
        </w:numPr>
        <w:spacing w:after="0" w:line="240" w:lineRule="auto"/>
        <w:rPr>
          <w:rFonts w:ascii="Times New Roman" w:hAnsi="Times New Roman" w:cs="Times New Roman"/>
        </w:rPr>
        <w:sectPr w:rsidR="00D63B14">
          <w:footerReference w:type="default" r:id="rId8"/>
          <w:pgSz w:w="12240" w:h="15840"/>
          <w:pgMar w:top="1440" w:right="1440" w:bottom="1440" w:left="1440" w:header="720" w:footer="720" w:gutter="0"/>
          <w:cols w:space="720"/>
          <w:docGrid w:linePitch="360"/>
        </w:sectPr>
      </w:pPr>
      <w:r w:rsidRPr="00E5329A">
        <w:rPr>
          <w:rFonts w:ascii="Times New Roman" w:hAnsi="Times New Roman" w:cs="Times New Roman"/>
        </w:rPr>
        <w:t>Synthesized findings from document review, institutional data, and stakeholder engagement to identify recurring themes, opportunities, and challenges that provide a foundation for consideration of potential Strategic Plan refinements</w:t>
      </w:r>
      <w:r w:rsidR="00027180" w:rsidRPr="00027180">
        <w:rPr>
          <w:rFonts w:ascii="Times New Roman" w:hAnsi="Times New Roman" w:cs="Times New Roman"/>
        </w:rPr>
        <w:t>.</w:t>
      </w:r>
    </w:p>
    <w:p w:rsidR="00616855" w:rsidRPr="009B26BC" w:rsidRDefault="00616855" w:rsidP="00616855">
      <w:pPr>
        <w:pStyle w:val="Heading2"/>
        <w:rPr>
          <w:sz w:val="32"/>
          <w:szCs w:val="32"/>
        </w:rPr>
      </w:pPr>
      <w:r w:rsidRPr="009B26BC">
        <w:rPr>
          <w:sz w:val="32"/>
          <w:szCs w:val="32"/>
        </w:rPr>
        <w:t>Emerging Themes from the Review</w:t>
      </w:r>
    </w:p>
    <w:p w:rsidR="00616855" w:rsidRDefault="00616855" w:rsidP="00616855">
      <w:pPr>
        <w:pStyle w:val="Heading3"/>
      </w:pPr>
      <w:r>
        <w:t>1. Enrollment Decline, Financial Sustainability, and Institutional Rightsizing</w:t>
      </w:r>
    </w:p>
    <w:p w:rsidR="00616855" w:rsidRDefault="00616855" w:rsidP="00616855">
      <w:pPr>
        <w:pStyle w:val="NormalWeb"/>
      </w:pPr>
      <w:r>
        <w:t>Enrollment trends, financial pressures, and resource constraints point to several interconnected considerations for long-term institutional sustainability:</w:t>
      </w:r>
    </w:p>
    <w:p w:rsidR="00616855" w:rsidRDefault="00616855" w:rsidP="00616855">
      <w:pPr>
        <w:pStyle w:val="NormalWeb"/>
        <w:numPr>
          <w:ilvl w:val="0"/>
          <w:numId w:val="17"/>
        </w:numPr>
      </w:pPr>
      <w:r>
        <w:t>Continued undergraduate enrollment decline, weakening first-year student pipelines, projected FTE reductions, and declining unrestricted reserves.</w:t>
      </w:r>
    </w:p>
    <w:p w:rsidR="00616855" w:rsidRDefault="00616855" w:rsidP="00616855">
      <w:pPr>
        <w:pStyle w:val="NormalWeb"/>
        <w:numPr>
          <w:ilvl w:val="0"/>
          <w:numId w:val="17"/>
        </w:numPr>
      </w:pPr>
      <w:r>
        <w:lastRenderedPageBreak/>
        <w:t>Need to align staffing, facilities, services, academic offerings, and institutional operations with long-term enrollment realities and sustainable resource capacity.</w:t>
      </w:r>
    </w:p>
    <w:p w:rsidR="00616855" w:rsidRDefault="00616855" w:rsidP="00616855">
      <w:pPr>
        <w:pStyle w:val="NormalWeb"/>
        <w:numPr>
          <w:ilvl w:val="0"/>
          <w:numId w:val="17"/>
        </w:numPr>
      </w:pPr>
      <w:r>
        <w:t>Infrastructure pressures, maintenance obligations, uneven campus utilization, and operational duplication.</w:t>
      </w:r>
    </w:p>
    <w:p w:rsidR="00616855" w:rsidRDefault="00616855" w:rsidP="00616855">
      <w:pPr>
        <w:pStyle w:val="NormalWeb"/>
        <w:numPr>
          <w:ilvl w:val="0"/>
          <w:numId w:val="17"/>
        </w:numPr>
      </w:pPr>
      <w:r>
        <w:t>Opportunities to improve operational efficiency, clarify institutional priorities, and make intentional decisions regarding organizational scale, service delivery, and resource allocation.</w:t>
      </w:r>
    </w:p>
    <w:p w:rsidR="00616855" w:rsidRDefault="00616855" w:rsidP="00616855">
      <w:pPr>
        <w:pStyle w:val="NormalWeb"/>
        <w:numPr>
          <w:ilvl w:val="0"/>
          <w:numId w:val="17"/>
        </w:numPr>
      </w:pPr>
      <w:r>
        <w:t>Need to strengthen understanding of the relationships among enrollment, budgeting, staffing, and long-term sustainability.</w:t>
      </w:r>
    </w:p>
    <w:p w:rsidR="00616855" w:rsidRDefault="00616855" w:rsidP="00616855">
      <w:pPr>
        <w:pStyle w:val="NormalWeb"/>
        <w:numPr>
          <w:ilvl w:val="0"/>
          <w:numId w:val="17"/>
        </w:numPr>
      </w:pPr>
      <w:r>
        <w:t>Concerns regarding staffing capacity, workload sustainability, employee well-being, and the effects of resource reductions on service quality, academic opportunities, student experiences, and other strategic commitments.</w:t>
      </w:r>
    </w:p>
    <w:p w:rsidR="00616855" w:rsidRDefault="00616855" w:rsidP="00616855">
      <w:pPr>
        <w:pStyle w:val="NormalWeb"/>
        <w:numPr>
          <w:ilvl w:val="0"/>
          <w:numId w:val="17"/>
        </w:numPr>
      </w:pPr>
      <w:r>
        <w:t>Importance of balancing long-term sustainability and necessary resource alignment with strategic investments that strengthen enrollment competitiveness, academic growth, campus vitality, and institutional resilience.</w:t>
      </w:r>
    </w:p>
    <w:p w:rsidR="00616855" w:rsidRDefault="00616855" w:rsidP="00616855">
      <w:pPr>
        <w:pStyle w:val="Heading3"/>
      </w:pPr>
      <w:r>
        <w:t>2. CU Identity, Campus Distinctiveness, Regional Engagement, and Institutional Positioning</w:t>
      </w:r>
    </w:p>
    <w:p w:rsidR="00616855" w:rsidRDefault="00616855" w:rsidP="00616855">
      <w:pPr>
        <w:pStyle w:val="NormalWeb"/>
      </w:pPr>
      <w:r>
        <w:t>Stakeholder feedback underscored the ongoing importance of building a shared CU identity while recognizing campus distinctiveness and strengthening the university's regional role:</w:t>
      </w:r>
    </w:p>
    <w:p w:rsidR="00616855" w:rsidRDefault="00616855" w:rsidP="00616855">
      <w:pPr>
        <w:pStyle w:val="NormalWeb"/>
        <w:numPr>
          <w:ilvl w:val="0"/>
          <w:numId w:val="18"/>
        </w:numPr>
      </w:pPr>
      <w:r>
        <w:t>Importance of strengthening a shared Commonwealth University identity while preserving the distinctive traditions, relationships, student experiences, and regional connections associated with each campus.</w:t>
      </w:r>
    </w:p>
    <w:p w:rsidR="00616855" w:rsidRDefault="00616855" w:rsidP="00616855">
      <w:pPr>
        <w:pStyle w:val="NormalWeb"/>
        <w:numPr>
          <w:ilvl w:val="0"/>
          <w:numId w:val="18"/>
        </w:numPr>
      </w:pPr>
      <w:r>
        <w:t>Recognition that building a cohesive Commonwealth University identity and sense of community remains ongoing work rather than a completed outcome of integration.</w:t>
      </w:r>
    </w:p>
    <w:p w:rsidR="00616855" w:rsidRDefault="00616855" w:rsidP="00616855">
      <w:pPr>
        <w:pStyle w:val="NormalWeb"/>
        <w:numPr>
          <w:ilvl w:val="0"/>
          <w:numId w:val="18"/>
        </w:numPr>
      </w:pPr>
      <w:r>
        <w:t>Need to reduce organizational silos, strengthen cross-campus collaboration, improve perceptions of equity and consistency, and cultivate a stronger sense of shared purpose.</w:t>
      </w:r>
    </w:p>
    <w:p w:rsidR="00616855" w:rsidRDefault="00616855" w:rsidP="00616855">
      <w:pPr>
        <w:pStyle w:val="NormalWeb"/>
        <w:numPr>
          <w:ilvl w:val="0"/>
          <w:numId w:val="18"/>
        </w:numPr>
      </w:pPr>
      <w:r>
        <w:t>Importance of balancing campus distinctiveness with enterprise-wide thinking and institutional alignment.</w:t>
      </w:r>
    </w:p>
    <w:p w:rsidR="00616855" w:rsidRDefault="00616855" w:rsidP="00616855">
      <w:pPr>
        <w:pStyle w:val="NormalWeb"/>
        <w:numPr>
          <w:ilvl w:val="0"/>
          <w:numId w:val="18"/>
        </w:numPr>
      </w:pPr>
      <w:r>
        <w:t>Continued role of the university as an educational, workforce, cultural, and economic contributor within the regions and communities connected to each campus.</w:t>
      </w:r>
    </w:p>
    <w:p w:rsidR="00616855" w:rsidRDefault="00616855" w:rsidP="00616855">
      <w:pPr>
        <w:pStyle w:val="NormalWeb"/>
        <w:numPr>
          <w:ilvl w:val="0"/>
          <w:numId w:val="18"/>
        </w:numPr>
      </w:pPr>
      <w:r>
        <w:t>Opportunities to strengthen coordination between university planning and broader regional planning and development efforts, particularly where education, workforce development, transportation, housing, tourism, and other shared priorities intersect.</w:t>
      </w:r>
    </w:p>
    <w:p w:rsidR="00616855" w:rsidRDefault="00616855" w:rsidP="00616855">
      <w:pPr>
        <w:pStyle w:val="NormalWeb"/>
        <w:numPr>
          <w:ilvl w:val="0"/>
          <w:numId w:val="18"/>
        </w:numPr>
      </w:pPr>
      <w:r>
        <w:t>Importance of clearly articulating the distinctive academic strengths, program offerings, student experiences, and value proposition of each campus while reinforcing a unified Commonwealth University identity.</w:t>
      </w:r>
    </w:p>
    <w:p w:rsidR="00616855" w:rsidRDefault="00616855" w:rsidP="00616855">
      <w:pPr>
        <w:pStyle w:val="NormalWeb"/>
        <w:numPr>
          <w:ilvl w:val="0"/>
          <w:numId w:val="18"/>
        </w:numPr>
      </w:pPr>
      <w:r>
        <w:t>Need to strengthen institutional positioning and differentiation to support recruitment, regional engagement, enrollment competitiveness, and long-term sustainability.</w:t>
      </w:r>
    </w:p>
    <w:p w:rsidR="00616855" w:rsidRDefault="00616855" w:rsidP="00616855">
      <w:pPr>
        <w:pStyle w:val="Heading3"/>
      </w:pPr>
      <w:r>
        <w:t>3. Revenue Diversification, Workforce Partnerships, and Alternative Enrollment Pathways</w:t>
      </w:r>
    </w:p>
    <w:p w:rsidR="00616855" w:rsidRDefault="00616855" w:rsidP="00616855">
      <w:pPr>
        <w:pStyle w:val="NormalWeb"/>
      </w:pPr>
      <w:r>
        <w:lastRenderedPageBreak/>
        <w:t>Several opportunities emerged for expanding enrollment pathways, strengthening external partnerships, and diversifying sources of institutional revenue:</w:t>
      </w:r>
    </w:p>
    <w:p w:rsidR="00616855" w:rsidRDefault="00616855" w:rsidP="00616855">
      <w:pPr>
        <w:pStyle w:val="NormalWeb"/>
        <w:numPr>
          <w:ilvl w:val="0"/>
          <w:numId w:val="19"/>
        </w:numPr>
      </w:pPr>
      <w:r>
        <w:t>Continued development of workforce development, non-credit programming, employer partnerships, articulation agreements, early college initiatives, adult learner engagement, and flexible instructional delivery.</w:t>
      </w:r>
    </w:p>
    <w:p w:rsidR="00616855" w:rsidRDefault="00616855" w:rsidP="00616855">
      <w:pPr>
        <w:pStyle w:val="NormalWeb"/>
        <w:numPr>
          <w:ilvl w:val="0"/>
          <w:numId w:val="19"/>
        </w:numPr>
      </w:pPr>
      <w:r>
        <w:t>Expansion of externally responsive academic programming and workforce-aligned educational opportunities that respond to regional needs.</w:t>
      </w:r>
    </w:p>
    <w:p w:rsidR="00616855" w:rsidRDefault="00616855" w:rsidP="00616855">
      <w:pPr>
        <w:pStyle w:val="NormalWeb"/>
        <w:numPr>
          <w:ilvl w:val="0"/>
          <w:numId w:val="19"/>
        </w:numPr>
      </w:pPr>
      <w:r>
        <w:t>Continued attention to graduate education as an important component of enrollment and program strategy.</w:t>
      </w:r>
    </w:p>
    <w:p w:rsidR="00616855" w:rsidRDefault="00616855" w:rsidP="00616855">
      <w:pPr>
        <w:pStyle w:val="NormalWeb"/>
        <w:numPr>
          <w:ilvl w:val="0"/>
          <w:numId w:val="19"/>
        </w:numPr>
      </w:pPr>
      <w:r>
        <w:t>Development of diversified revenue streams and enrollment pathways beyond traditional undergraduate recruitment.</w:t>
      </w:r>
    </w:p>
    <w:p w:rsidR="00616855" w:rsidRDefault="00616855" w:rsidP="00616855">
      <w:pPr>
        <w:pStyle w:val="NormalWeb"/>
        <w:numPr>
          <w:ilvl w:val="0"/>
          <w:numId w:val="19"/>
        </w:numPr>
      </w:pPr>
      <w:r>
        <w:t>Strengthening community and employer partnerships while expanding access and affordability for future students.</w:t>
      </w:r>
    </w:p>
    <w:p w:rsidR="00616855" w:rsidRDefault="00616855" w:rsidP="00616855">
      <w:pPr>
        <w:pStyle w:val="Heading3"/>
      </w:pPr>
      <w:r>
        <w:t>4. Evolving Student Needs, Expectations, and Experience</w:t>
      </w:r>
    </w:p>
    <w:p w:rsidR="00616855" w:rsidRDefault="00616855" w:rsidP="00616855">
      <w:pPr>
        <w:pStyle w:val="NormalWeb"/>
      </w:pPr>
      <w:r>
        <w:t>Changing student needs and expectations are reshaping how students engage with their academic programs, support services, campuses, and the broader university experience:</w:t>
      </w:r>
    </w:p>
    <w:p w:rsidR="00616855" w:rsidRDefault="00616855" w:rsidP="00616855">
      <w:pPr>
        <w:pStyle w:val="NormalWeb"/>
        <w:numPr>
          <w:ilvl w:val="0"/>
          <w:numId w:val="20"/>
        </w:numPr>
      </w:pPr>
      <w:r>
        <w:t>Continued importance of in-person engagement, student-faculty relationships, and the campus experience.</w:t>
      </w:r>
    </w:p>
    <w:p w:rsidR="00616855" w:rsidRDefault="00616855" w:rsidP="00616855">
      <w:pPr>
        <w:pStyle w:val="NormalWeb"/>
        <w:numPr>
          <w:ilvl w:val="0"/>
          <w:numId w:val="20"/>
        </w:numPr>
      </w:pPr>
      <w:r>
        <w:t>Significant student use of flexible and online course delivery, while recognizing that registration patterns may reflect course availability, sequencing, scheduling, and other constraints rather than student preference alone.</w:t>
      </w:r>
    </w:p>
    <w:p w:rsidR="00616855" w:rsidRDefault="00616855" w:rsidP="00616855">
      <w:pPr>
        <w:pStyle w:val="NormalWeb"/>
        <w:numPr>
          <w:ilvl w:val="0"/>
          <w:numId w:val="20"/>
        </w:numPr>
      </w:pPr>
      <w:r>
        <w:t>Student expectations that extend beyond instructional modality to advising, communication, scheduling flexibility, support services, career preparation, technology use, and the overall educational experience.</w:t>
      </w:r>
    </w:p>
    <w:p w:rsidR="00616855" w:rsidRDefault="00616855" w:rsidP="00616855">
      <w:pPr>
        <w:pStyle w:val="NormalWeb"/>
        <w:numPr>
          <w:ilvl w:val="0"/>
          <w:numId w:val="20"/>
        </w:numPr>
      </w:pPr>
      <w:r>
        <w:t>Need to balance flexibility and convenience with meaningful engagement, academic rigor, student development, and high-quality educational experiences that support persistence, satisfaction, and long-term success.</w:t>
      </w:r>
    </w:p>
    <w:p w:rsidR="00616855" w:rsidRDefault="00616855" w:rsidP="00616855">
      <w:pPr>
        <w:pStyle w:val="NormalWeb"/>
        <w:numPr>
          <w:ilvl w:val="0"/>
          <w:numId w:val="20"/>
        </w:numPr>
      </w:pPr>
      <w:r>
        <w:t>Importance of maintaining opportunities for in-person interaction, relationship-building, and a strong sense of campus and institutional community as virtual environments become increasingly prevalent.</w:t>
      </w:r>
    </w:p>
    <w:p w:rsidR="00616855" w:rsidRDefault="00616855" w:rsidP="00616855">
      <w:pPr>
        <w:pStyle w:val="Heading3"/>
      </w:pPr>
      <w:r>
        <w:t>5. Student Belonging, Support, and Persistence</w:t>
      </w:r>
    </w:p>
    <w:p w:rsidR="00616855" w:rsidRDefault="00616855" w:rsidP="00616855">
      <w:pPr>
        <w:pStyle w:val="NormalWeb"/>
      </w:pPr>
      <w:r>
        <w:t>Student success findings emphasized the value of coordinated, relationship-based approaches that support belonging, persistence, and completion:</w:t>
      </w:r>
    </w:p>
    <w:p w:rsidR="00616855" w:rsidRDefault="00616855" w:rsidP="00616855">
      <w:pPr>
        <w:pStyle w:val="NormalWeb"/>
        <w:numPr>
          <w:ilvl w:val="0"/>
          <w:numId w:val="21"/>
        </w:numPr>
      </w:pPr>
      <w:r>
        <w:t>Coordinated student support and responsive interventions that help students navigate academic, financial, and personal challenges throughout their educational experience.</w:t>
      </w:r>
    </w:p>
    <w:p w:rsidR="00616855" w:rsidRDefault="00616855" w:rsidP="00616855">
      <w:pPr>
        <w:pStyle w:val="NormalWeb"/>
        <w:numPr>
          <w:ilvl w:val="0"/>
          <w:numId w:val="21"/>
        </w:numPr>
      </w:pPr>
      <w:r>
        <w:t>A holistic view of student success encompassing access, persistence, belonging, transformative learning, experiential opportunities, career preparation, lifelong learning, and engaged citizenship.</w:t>
      </w:r>
    </w:p>
    <w:p w:rsidR="00616855" w:rsidRDefault="00616855" w:rsidP="00616855">
      <w:pPr>
        <w:pStyle w:val="NormalWeb"/>
        <w:numPr>
          <w:ilvl w:val="0"/>
          <w:numId w:val="21"/>
        </w:numPr>
      </w:pPr>
      <w:r>
        <w:lastRenderedPageBreak/>
        <w:t>Opportunities for community-engaged and service-learning experiences to strengthen students' sense of place, belonging, connection to the communities and regions served by CU, and engagement with their educational experience.</w:t>
      </w:r>
    </w:p>
    <w:p w:rsidR="00616855" w:rsidRDefault="00616855" w:rsidP="00616855">
      <w:pPr>
        <w:pStyle w:val="NormalWeb"/>
        <w:numPr>
          <w:ilvl w:val="0"/>
          <w:numId w:val="21"/>
        </w:numPr>
      </w:pPr>
      <w:r>
        <w:t>Importance of coordinated advising, mentoring, early intervention, and proactive identification of students with elevated risk factors.</w:t>
      </w:r>
    </w:p>
    <w:p w:rsidR="00616855" w:rsidRDefault="00616855" w:rsidP="00616855">
      <w:pPr>
        <w:pStyle w:val="NormalWeb"/>
        <w:numPr>
          <w:ilvl w:val="0"/>
          <w:numId w:val="21"/>
        </w:numPr>
      </w:pPr>
      <w:r>
        <w:t>Need for coordinated, data-informed systems that connect students with appropriate academic, personal, financial, and career supports throughout their educational experience.</w:t>
      </w:r>
    </w:p>
    <w:p w:rsidR="00616855" w:rsidRDefault="00616855" w:rsidP="00616855">
      <w:pPr>
        <w:pStyle w:val="NormalWeb"/>
        <w:numPr>
          <w:ilvl w:val="0"/>
          <w:numId w:val="21"/>
        </w:numPr>
      </w:pPr>
      <w:r>
        <w:t>Recognition of student success as a shared institutional responsibility across faculty, staff, enrollment management, student affairs, academic affairs, and support services.</w:t>
      </w:r>
    </w:p>
    <w:p w:rsidR="00616855" w:rsidRDefault="00616855" w:rsidP="00616855">
      <w:pPr>
        <w:pStyle w:val="NormalWeb"/>
        <w:numPr>
          <w:ilvl w:val="0"/>
          <w:numId w:val="21"/>
        </w:numPr>
      </w:pPr>
      <w:r>
        <w:t>Particular attention to first-generation students, adult learners, graduate students, and other populations facing elevated barriers to persistence and completion.</w:t>
      </w:r>
    </w:p>
    <w:p w:rsidR="00616855" w:rsidRDefault="00616855" w:rsidP="00616855">
      <w:pPr>
        <w:pStyle w:val="Heading3"/>
      </w:pPr>
      <w:r>
        <w:t>6. Academic Excellence, Engaged Learning, and Career Preparation</w:t>
      </w:r>
    </w:p>
    <w:p w:rsidR="00616855" w:rsidRDefault="00616855" w:rsidP="00616855">
      <w:pPr>
        <w:pStyle w:val="NormalWeb"/>
      </w:pPr>
      <w:r>
        <w:t>Academic quality, engaged learning, workforce relevance, and preparation for a changing professional environment emerged as important considerations for the future:</w:t>
      </w:r>
    </w:p>
    <w:p w:rsidR="00616855" w:rsidRDefault="00616855" w:rsidP="00616855">
      <w:pPr>
        <w:pStyle w:val="NormalWeb"/>
        <w:numPr>
          <w:ilvl w:val="0"/>
          <w:numId w:val="22"/>
        </w:numPr>
      </w:pPr>
      <w:r>
        <w:t>Opportunities to strengthen academic engagement and high-quality learning experiences, including the depth, rigor, and application of student learning.</w:t>
      </w:r>
    </w:p>
    <w:p w:rsidR="00616855" w:rsidRDefault="00616855" w:rsidP="00616855">
      <w:pPr>
        <w:pStyle w:val="NormalWeb"/>
        <w:numPr>
          <w:ilvl w:val="0"/>
          <w:numId w:val="22"/>
        </w:numPr>
      </w:pPr>
      <w:r>
        <w:t>Continued emphasis on experiential learning, internships, mentoring, high-impact practices, and career-connected educational experiences that contribute to student engagement, persistence, career readiness, institutional distinctiveness, and post-graduation success.</w:t>
      </w:r>
    </w:p>
    <w:p w:rsidR="00616855" w:rsidRDefault="00616855" w:rsidP="00616855">
      <w:pPr>
        <w:pStyle w:val="NormalWeb"/>
        <w:numPr>
          <w:ilvl w:val="0"/>
          <w:numId w:val="22"/>
        </w:numPr>
      </w:pPr>
      <w:r>
        <w:t>Importance of workforce-aligned academic programming, graduate education, and employer partnerships.</w:t>
      </w:r>
    </w:p>
    <w:p w:rsidR="00616855" w:rsidRDefault="00616855" w:rsidP="00616855">
      <w:pPr>
        <w:pStyle w:val="NormalWeb"/>
        <w:numPr>
          <w:ilvl w:val="0"/>
          <w:numId w:val="22"/>
        </w:numPr>
      </w:pPr>
      <w:r>
        <w:t>Growing importance of AI literacy, digital fluency, and preparation for technology-enabled work environments as emerging technologies reshape workforce expectations, instructional models, and institutional operations.</w:t>
      </w:r>
    </w:p>
    <w:p w:rsidR="00616855" w:rsidRDefault="00616855" w:rsidP="00616855">
      <w:pPr>
        <w:pStyle w:val="NormalWeb"/>
        <w:numPr>
          <w:ilvl w:val="0"/>
          <w:numId w:val="22"/>
        </w:numPr>
      </w:pPr>
      <w:r>
        <w:t>Need to prepare students for evolving workplace expectations, including professional communication, interpersonal skills, collaboration, adaptability, and effectiveness across in-person, remote, and technology-enabled environments.</w:t>
      </w:r>
    </w:p>
    <w:p w:rsidR="00616855" w:rsidRDefault="00616855" w:rsidP="00616855">
      <w:pPr>
        <w:pStyle w:val="NormalWeb"/>
        <w:numPr>
          <w:ilvl w:val="0"/>
          <w:numId w:val="22"/>
        </w:numPr>
      </w:pPr>
      <w:r>
        <w:t>Recognition that academic excellence extends beyond workforce responsiveness and encompasses educational quality, student learning outcomes, teaching effectiveness, academic integrity, faculty development, and a strong culture of learning.</w:t>
      </w:r>
    </w:p>
    <w:p w:rsidR="00616855" w:rsidRDefault="00616855" w:rsidP="00616855">
      <w:pPr>
        <w:pStyle w:val="NormalWeb"/>
        <w:numPr>
          <w:ilvl w:val="0"/>
          <w:numId w:val="22"/>
        </w:numPr>
      </w:pPr>
      <w:r>
        <w:t>Need to maintain competitive academic programs and strategically manage the university's academic portfolio through ongoing consideration of program offerings, campus program mix, student demand, regional workforce needs, and emerging academic opportunities.</w:t>
      </w:r>
    </w:p>
    <w:p w:rsidR="00616855" w:rsidRDefault="00616855" w:rsidP="00616855">
      <w:pPr>
        <w:pStyle w:val="NormalWeb"/>
        <w:numPr>
          <w:ilvl w:val="0"/>
          <w:numId w:val="22"/>
        </w:numPr>
      </w:pPr>
      <w:r>
        <w:t>Opportunities to leverage distinctive campus and regional assets, specialized facilities, workforce connections, and educational experiences when considering future academic programs, credentials, experiential learning opportunities, and partnerships.</w:t>
      </w:r>
    </w:p>
    <w:p w:rsidR="00616855" w:rsidRDefault="00616855" w:rsidP="00616855">
      <w:pPr>
        <w:pStyle w:val="NormalWeb"/>
        <w:numPr>
          <w:ilvl w:val="0"/>
          <w:numId w:val="22"/>
        </w:numPr>
      </w:pPr>
      <w:r>
        <w:t>Importance of clearly communicating the academic strengths and educational experiences that differentiate Commonwealth University and each campus within an increasingly competitive higher education environment.</w:t>
      </w:r>
    </w:p>
    <w:p w:rsidR="00616855" w:rsidRDefault="00616855" w:rsidP="00616855">
      <w:pPr>
        <w:pStyle w:val="NormalWeb"/>
        <w:numPr>
          <w:ilvl w:val="0"/>
          <w:numId w:val="22"/>
        </w:numPr>
      </w:pPr>
      <w:r>
        <w:lastRenderedPageBreak/>
        <w:t>Need to integrate high-impact and career-connected experiences more intentionally throughout students' academic experiences and communicate them as distinguishing features of a CU education.</w:t>
      </w:r>
    </w:p>
    <w:p w:rsidR="00616855" w:rsidRDefault="00616855" w:rsidP="00616855">
      <w:pPr>
        <w:pStyle w:val="Heading3"/>
      </w:pPr>
      <w:r>
        <w:t>7. Communication, Organizational Culture, Employee Engagement, Shared Governance, and Trust</w:t>
      </w:r>
    </w:p>
    <w:p w:rsidR="00616855" w:rsidRDefault="00616855" w:rsidP="00616855">
      <w:pPr>
        <w:pStyle w:val="NormalWeb"/>
      </w:pPr>
      <w:r>
        <w:t>Across reports, surveys, and stakeholder discussions, communication, engagement, organizational trust, and institutional alignment emerged as closely interconnected:</w:t>
      </w:r>
    </w:p>
    <w:p w:rsidR="00616855" w:rsidRDefault="00616855" w:rsidP="00616855">
      <w:pPr>
        <w:pStyle w:val="NormalWeb"/>
        <w:numPr>
          <w:ilvl w:val="0"/>
          <w:numId w:val="23"/>
        </w:numPr>
      </w:pPr>
      <w:r>
        <w:t>Need for timely and effective communication, meaningful opportunities for stakeholder input, governance clarity, and transparent and inclusive decision-making.</w:t>
      </w:r>
    </w:p>
    <w:p w:rsidR="00616855" w:rsidRDefault="00616855" w:rsidP="00616855">
      <w:pPr>
        <w:pStyle w:val="NormalWeb"/>
        <w:numPr>
          <w:ilvl w:val="0"/>
          <w:numId w:val="23"/>
        </w:numPr>
      </w:pPr>
      <w:r>
        <w:t>Continued effects of change fatigue and the importance of building confidence and trust in institutional decision-making.</w:t>
      </w:r>
    </w:p>
    <w:p w:rsidR="00616855" w:rsidRDefault="00616855" w:rsidP="00616855">
      <w:pPr>
        <w:pStyle w:val="NormalWeb"/>
        <w:numPr>
          <w:ilvl w:val="0"/>
          <w:numId w:val="23"/>
        </w:numPr>
      </w:pPr>
      <w:r>
        <w:t>Importance of a culture in which employees feel heard, valued, respected, engaged, and connected to one another through shared institutional goals.</w:t>
      </w:r>
    </w:p>
    <w:p w:rsidR="00616855" w:rsidRDefault="00616855" w:rsidP="00616855">
      <w:pPr>
        <w:pStyle w:val="NormalWeb"/>
        <w:numPr>
          <w:ilvl w:val="0"/>
          <w:numId w:val="23"/>
        </w:numPr>
      </w:pPr>
      <w:r>
        <w:t>Recognition that employee engagement and organizational trust are influenced by meaningful recognition, professional growth, respectful supervisory relationships, opportunities for involvement, and a clear understanding of the rationale behind institutional decisions.</w:t>
      </w:r>
    </w:p>
    <w:p w:rsidR="00616855" w:rsidRDefault="00616855" w:rsidP="00616855">
      <w:pPr>
        <w:pStyle w:val="NormalWeb"/>
        <w:numPr>
          <w:ilvl w:val="0"/>
          <w:numId w:val="23"/>
        </w:numPr>
      </w:pPr>
      <w:r>
        <w:t>Need to improve information flow across organizational levels, employee understanding of institutional priorities, and leadership alignment.</w:t>
      </w:r>
    </w:p>
    <w:p w:rsidR="00616855" w:rsidRDefault="00616855" w:rsidP="00616855">
      <w:pPr>
        <w:pStyle w:val="NormalWeb"/>
        <w:numPr>
          <w:ilvl w:val="0"/>
          <w:numId w:val="23"/>
        </w:numPr>
      </w:pPr>
      <w:r>
        <w:t>Importance of translating strategic priorities into clear and actionable expectations.</w:t>
      </w:r>
    </w:p>
    <w:p w:rsidR="00616855" w:rsidRDefault="00616855" w:rsidP="00616855">
      <w:pPr>
        <w:pStyle w:val="NormalWeb"/>
        <w:numPr>
          <w:ilvl w:val="0"/>
          <w:numId w:val="23"/>
        </w:numPr>
      </w:pPr>
      <w:r>
        <w:t>Need for proactive internal and external communication that consistently communicates institutional plans and accomplishments, reinforces Commonwealth University's value proposition, addresses uncertainty and misinformation, and celebrates successes.</w:t>
      </w:r>
    </w:p>
    <w:p w:rsidR="00616855" w:rsidRDefault="00616855" w:rsidP="00616855">
      <w:pPr>
        <w:pStyle w:val="NormalWeb"/>
        <w:numPr>
          <w:ilvl w:val="0"/>
          <w:numId w:val="23"/>
        </w:numPr>
      </w:pPr>
      <w:r>
        <w:t>Opportunities to empower faculty, staff, students, alumni, and community partners to serve as informed ambassadors for the university.</w:t>
      </w:r>
    </w:p>
    <w:p w:rsidR="00616855" w:rsidRDefault="00616855" w:rsidP="00616855">
      <w:pPr>
        <w:pStyle w:val="NormalWeb"/>
        <w:numPr>
          <w:ilvl w:val="0"/>
          <w:numId w:val="23"/>
        </w:numPr>
      </w:pPr>
      <w:r>
        <w:t>Recognition that communication, collaboration, organizational trust, shared responsibility, and institutional alignment are important drivers of successful implementation and organizational change.</w:t>
      </w:r>
    </w:p>
    <w:p w:rsidR="00616855" w:rsidRDefault="00616855" w:rsidP="00616855">
      <w:pPr>
        <w:pStyle w:val="Heading3"/>
      </w:pPr>
      <w:r>
        <w:t>8. Financial Vulnerability, Equity Gaps, and Uneven Student Outcomes</w:t>
      </w:r>
    </w:p>
    <w:p w:rsidR="00616855" w:rsidRDefault="00616855" w:rsidP="00616855">
      <w:pPr>
        <w:pStyle w:val="NormalWeb"/>
      </w:pPr>
      <w:r>
        <w:t>Student outcome data and stakeholder feedback highlighted persistent disparities and financial barriers that can affect access, persistence, and completion:</w:t>
      </w:r>
    </w:p>
    <w:p w:rsidR="00616855" w:rsidRDefault="00616855" w:rsidP="00616855">
      <w:pPr>
        <w:pStyle w:val="NormalWeb"/>
        <w:numPr>
          <w:ilvl w:val="0"/>
          <w:numId w:val="24"/>
        </w:numPr>
      </w:pPr>
      <w:r>
        <w:t>Persistent retention and graduation gaps for underrepresented minority, Pell-eligible, first-generation, and other historically underserved student populations.</w:t>
      </w:r>
    </w:p>
    <w:p w:rsidR="00616855" w:rsidRDefault="00616855" w:rsidP="00616855">
      <w:pPr>
        <w:pStyle w:val="NormalWeb"/>
        <w:numPr>
          <w:ilvl w:val="0"/>
          <w:numId w:val="24"/>
        </w:numPr>
      </w:pPr>
      <w:r>
        <w:t>Elevated challenges among students experiencing multiple overlapping risk factors.</w:t>
      </w:r>
    </w:p>
    <w:p w:rsidR="00616855" w:rsidRDefault="00616855" w:rsidP="00616855">
      <w:pPr>
        <w:pStyle w:val="NormalWeb"/>
        <w:numPr>
          <w:ilvl w:val="0"/>
          <w:numId w:val="24"/>
        </w:numPr>
      </w:pPr>
      <w:r>
        <w:t>Effects of financial insecurity, unmet basic needs, and unexpected life circumstances on student persistence, retention, and degree completion.</w:t>
      </w:r>
    </w:p>
    <w:p w:rsidR="00616855" w:rsidRDefault="00616855" w:rsidP="00616855">
      <w:pPr>
        <w:pStyle w:val="NormalWeb"/>
        <w:numPr>
          <w:ilvl w:val="0"/>
          <w:numId w:val="24"/>
        </w:numPr>
      </w:pPr>
      <w:r>
        <w:t>Importance of addressing affordability challenges, financial vulnerability, equity gaps, and barriers that disproportionately affect student success outcomes.</w:t>
      </w:r>
    </w:p>
    <w:p w:rsidR="009B26BC" w:rsidRDefault="00616855" w:rsidP="00616855">
      <w:pPr>
        <w:pStyle w:val="NormalWeb"/>
        <w:numPr>
          <w:ilvl w:val="0"/>
          <w:numId w:val="24"/>
        </w:numPr>
      </w:pPr>
      <w:r>
        <w:t>Need for intentional efforts to improve access, persistence, achievement, and degree attainment across student populations while reducing disparities in educational outcomes.</w:t>
      </w:r>
    </w:p>
    <w:p w:rsidR="009B26BC" w:rsidRDefault="009B26BC">
      <w:pPr>
        <w:rPr>
          <w:rFonts w:ascii="Times New Roman" w:eastAsia="Times New Roman" w:hAnsi="Times New Roman" w:cs="Times New Roman"/>
          <w:b/>
          <w:bCs/>
          <w:sz w:val="27"/>
          <w:szCs w:val="27"/>
        </w:rPr>
      </w:pPr>
      <w:r>
        <w:br w:type="page"/>
      </w:r>
    </w:p>
    <w:p w:rsidR="00616855" w:rsidRDefault="009B26BC" w:rsidP="00616855">
      <w:pPr>
        <w:pStyle w:val="Heading3"/>
      </w:pPr>
      <w:r>
        <w:t xml:space="preserve">9. </w:t>
      </w:r>
      <w:bookmarkStart w:id="0" w:name="_GoBack"/>
      <w:bookmarkEnd w:id="0"/>
      <w:r w:rsidR="00616855">
        <w:t>Institutional Effectiveness, Evidence-Informed Decision-Making, Accountability, and Strategic Execution</w:t>
      </w:r>
    </w:p>
    <w:p w:rsidR="00616855" w:rsidRDefault="00616855" w:rsidP="00616855">
      <w:pPr>
        <w:pStyle w:val="NormalWeb"/>
      </w:pPr>
      <w:r>
        <w:t>Institutional reviews and stakeholder feedback pointed to the importance of strengthening the connections among planning, evidence, decision-making, accountability, and execution:</w:t>
      </w:r>
    </w:p>
    <w:p w:rsidR="00616855" w:rsidRDefault="00616855" w:rsidP="00616855">
      <w:pPr>
        <w:pStyle w:val="NormalWeb"/>
        <w:numPr>
          <w:ilvl w:val="0"/>
          <w:numId w:val="25"/>
        </w:numPr>
      </w:pPr>
      <w:r>
        <w:t>Need for stronger assessment infrastructure, measurable learning outcomes, systematic improvement cycles, and clearer connections among planning, assessment, budgeting, resource allocation, and institutional decision-making.</w:t>
      </w:r>
    </w:p>
    <w:p w:rsidR="00616855" w:rsidRDefault="00616855" w:rsidP="00616855">
      <w:pPr>
        <w:pStyle w:val="NormalWeb"/>
        <w:numPr>
          <w:ilvl w:val="0"/>
          <w:numId w:val="25"/>
        </w:numPr>
      </w:pPr>
      <w:r>
        <w:t>Opportunities to improve operational effectiveness, student support, educational quality, and institutional decision-making through more coordinated and responsible use of technology and data-informed practices.</w:t>
      </w:r>
    </w:p>
    <w:p w:rsidR="00616855" w:rsidRDefault="00616855" w:rsidP="00616855">
      <w:pPr>
        <w:pStyle w:val="NormalWeb"/>
        <w:numPr>
          <w:ilvl w:val="0"/>
          <w:numId w:val="25"/>
        </w:numPr>
      </w:pPr>
      <w:r>
        <w:t>Importance of translating strategic priorities into actionable goals and aligning planning efforts across organizational levels.</w:t>
      </w:r>
    </w:p>
    <w:p w:rsidR="00616855" w:rsidRDefault="00616855" w:rsidP="00616855">
      <w:pPr>
        <w:pStyle w:val="NormalWeb"/>
        <w:numPr>
          <w:ilvl w:val="0"/>
          <w:numId w:val="25"/>
        </w:numPr>
      </w:pPr>
      <w:r>
        <w:t>Need to strengthen collaboration across academic and administrative units, improve execution, and ensure institutional decisions are informed by evidence and measurable outcomes.</w:t>
      </w:r>
    </w:p>
    <w:p w:rsidR="00616855" w:rsidRDefault="00616855" w:rsidP="00616855">
      <w:pPr>
        <w:pStyle w:val="NormalWeb"/>
        <w:numPr>
          <w:ilvl w:val="0"/>
          <w:numId w:val="25"/>
        </w:numPr>
      </w:pPr>
      <w:r>
        <w:t>Importance of periodically reassessing strategic initiatives and measures to ensure they remain feasible, meaningful, outcome-oriented, and relevant to current institutional conditions rather than continuing measures or activities that no longer provide useful evidence of progress.</w:t>
      </w:r>
    </w:p>
    <w:p w:rsidR="00616855" w:rsidRDefault="00616855" w:rsidP="00616855">
      <w:pPr>
        <w:pStyle w:val="NormalWeb"/>
        <w:numPr>
          <w:ilvl w:val="0"/>
          <w:numId w:val="25"/>
        </w:numPr>
      </w:pPr>
      <w:r>
        <w:t>Recognition that the university's greatest opportunity may lie less in identifying additional priorities than in consistently implementing existing priorities through coordinated leadership, cross-unit collaboration, measurable accountability, and sustained organizational focus.</w:t>
      </w:r>
    </w:p>
    <w:p w:rsidR="00616855" w:rsidRDefault="00616855" w:rsidP="00616855">
      <w:pPr>
        <w:pStyle w:val="NormalWeb"/>
        <w:numPr>
          <w:ilvl w:val="0"/>
          <w:numId w:val="25"/>
        </w:numPr>
      </w:pPr>
      <w:r>
        <w:t>Continued importance of organizational alignment, accountability, continuous improvement, and successful implementation of strategic priorities throughout the university.</w:t>
      </w:r>
    </w:p>
    <w:p w:rsidR="00330453" w:rsidRDefault="001975F4" w:rsidP="00330453">
      <w:pPr>
        <w:pStyle w:val="Heading3"/>
        <w:spacing w:before="0" w:beforeAutospacing="0" w:after="0" w:afterAutospacing="0"/>
        <w:contextualSpacing/>
        <w:rPr>
          <w:sz w:val="28"/>
          <w:szCs w:val="28"/>
        </w:rPr>
      </w:pPr>
      <w:r w:rsidRPr="001975F4">
        <w:rPr>
          <w:sz w:val="28"/>
          <w:szCs w:val="28"/>
        </w:rPr>
        <w:t>Next Steps</w:t>
      </w:r>
    </w:p>
    <w:p w:rsidR="00330453" w:rsidRPr="00330453" w:rsidRDefault="00330453" w:rsidP="00330453">
      <w:pPr>
        <w:pStyle w:val="Heading3"/>
        <w:spacing w:after="0"/>
        <w:contextualSpacing/>
        <w:rPr>
          <w:b w:val="0"/>
          <w:sz w:val="22"/>
          <w:szCs w:val="22"/>
        </w:rPr>
      </w:pPr>
      <w:r w:rsidRPr="00330453">
        <w:rPr>
          <w:b w:val="0"/>
          <w:sz w:val="22"/>
          <w:szCs w:val="22"/>
        </w:rPr>
        <w:t xml:space="preserve">With Phase I complete, </w:t>
      </w:r>
      <w:r>
        <w:rPr>
          <w:b w:val="0"/>
          <w:sz w:val="22"/>
          <w:szCs w:val="22"/>
        </w:rPr>
        <w:t>Phase II</w:t>
      </w:r>
      <w:r w:rsidRPr="00330453">
        <w:rPr>
          <w:b w:val="0"/>
          <w:sz w:val="22"/>
          <w:szCs w:val="22"/>
        </w:rPr>
        <w:t xml:space="preserve"> of the Strategic Plan Refresh will focus on:</w:t>
      </w:r>
    </w:p>
    <w:p w:rsidR="00330453" w:rsidRPr="00330453" w:rsidRDefault="00594809" w:rsidP="00330453">
      <w:pPr>
        <w:pStyle w:val="Heading3"/>
        <w:numPr>
          <w:ilvl w:val="0"/>
          <w:numId w:val="5"/>
        </w:numPr>
        <w:spacing w:after="0"/>
        <w:contextualSpacing/>
        <w:rPr>
          <w:b w:val="0"/>
          <w:sz w:val="22"/>
          <w:szCs w:val="22"/>
        </w:rPr>
      </w:pPr>
      <w:r w:rsidRPr="00594809">
        <w:rPr>
          <w:b w:val="0"/>
          <w:sz w:val="22"/>
          <w:szCs w:val="22"/>
        </w:rPr>
        <w:t>translating the Phase I findings into proposed refinements to the current Strategic Plan, with primary attention to initiatives and measures and limited changes to the high-level framework where warranted</w:t>
      </w:r>
      <w:r w:rsidR="00330453" w:rsidRPr="00330453">
        <w:rPr>
          <w:b w:val="0"/>
          <w:sz w:val="22"/>
          <w:szCs w:val="22"/>
        </w:rPr>
        <w:t>;</w:t>
      </w:r>
    </w:p>
    <w:p w:rsidR="00330453" w:rsidRPr="00330453" w:rsidRDefault="00330453" w:rsidP="00330453">
      <w:pPr>
        <w:pStyle w:val="Heading3"/>
        <w:numPr>
          <w:ilvl w:val="0"/>
          <w:numId w:val="5"/>
        </w:numPr>
        <w:spacing w:after="0"/>
        <w:contextualSpacing/>
        <w:rPr>
          <w:b w:val="0"/>
          <w:sz w:val="22"/>
          <w:szCs w:val="22"/>
        </w:rPr>
      </w:pPr>
      <w:r w:rsidRPr="00330453">
        <w:rPr>
          <w:b w:val="0"/>
          <w:sz w:val="22"/>
          <w:szCs w:val="22"/>
        </w:rPr>
        <w:t>socializing the Phase I findings and proposed areas of focus more broadly across the university and providing opportunities for faculty, staff, students, and other stakeholders to offer input;</w:t>
      </w:r>
    </w:p>
    <w:p w:rsidR="00330453" w:rsidRPr="00330453" w:rsidRDefault="00330453" w:rsidP="00330453">
      <w:pPr>
        <w:pStyle w:val="Heading3"/>
        <w:numPr>
          <w:ilvl w:val="0"/>
          <w:numId w:val="5"/>
        </w:numPr>
        <w:spacing w:after="0"/>
        <w:contextualSpacing/>
        <w:rPr>
          <w:b w:val="0"/>
          <w:sz w:val="22"/>
          <w:szCs w:val="22"/>
        </w:rPr>
      </w:pPr>
      <w:r w:rsidRPr="00330453">
        <w:rPr>
          <w:b w:val="0"/>
          <w:sz w:val="22"/>
          <w:szCs w:val="22"/>
        </w:rPr>
        <w:t>engaging the Strategic Planning Committee in reviewing and deliberating on the Phase I findings, proposed revisions, and stakeholder feedback;</w:t>
      </w:r>
    </w:p>
    <w:p w:rsidR="00330453" w:rsidRPr="00330453" w:rsidRDefault="00330453" w:rsidP="00330453">
      <w:pPr>
        <w:pStyle w:val="Heading3"/>
        <w:numPr>
          <w:ilvl w:val="0"/>
          <w:numId w:val="5"/>
        </w:numPr>
        <w:spacing w:after="0"/>
        <w:contextualSpacing/>
        <w:rPr>
          <w:b w:val="0"/>
          <w:sz w:val="22"/>
          <w:szCs w:val="22"/>
        </w:rPr>
      </w:pPr>
      <w:r w:rsidRPr="00330453">
        <w:rPr>
          <w:b w:val="0"/>
          <w:sz w:val="22"/>
          <w:szCs w:val="22"/>
        </w:rPr>
        <w:t xml:space="preserve">using broader stakeholder and committee feedback to </w:t>
      </w:r>
      <w:r w:rsidR="009E5477">
        <w:rPr>
          <w:b w:val="0"/>
          <w:sz w:val="22"/>
          <w:szCs w:val="22"/>
        </w:rPr>
        <w:t>develop</w:t>
      </w:r>
      <w:r w:rsidRPr="00330453">
        <w:rPr>
          <w:b w:val="0"/>
          <w:sz w:val="22"/>
          <w:szCs w:val="22"/>
        </w:rPr>
        <w:t xml:space="preserve"> the proposed re</w:t>
      </w:r>
      <w:r w:rsidR="009E5477">
        <w:rPr>
          <w:b w:val="0"/>
          <w:sz w:val="22"/>
          <w:szCs w:val="22"/>
        </w:rPr>
        <w:t>finements</w:t>
      </w:r>
      <w:r w:rsidRPr="00330453">
        <w:rPr>
          <w:b w:val="0"/>
          <w:sz w:val="22"/>
          <w:szCs w:val="22"/>
        </w:rPr>
        <w:t>; and</w:t>
      </w:r>
    </w:p>
    <w:p w:rsidR="001975F4" w:rsidRPr="00D92DB6" w:rsidRDefault="00330453" w:rsidP="00330453">
      <w:pPr>
        <w:pStyle w:val="Heading3"/>
        <w:numPr>
          <w:ilvl w:val="0"/>
          <w:numId w:val="5"/>
        </w:numPr>
        <w:spacing w:before="0" w:beforeAutospacing="0" w:after="0" w:afterAutospacing="0"/>
        <w:contextualSpacing/>
      </w:pPr>
      <w:r w:rsidRPr="00330453">
        <w:rPr>
          <w:b w:val="0"/>
          <w:sz w:val="22"/>
          <w:szCs w:val="22"/>
        </w:rPr>
        <w:t>advancing a refreshed Strategic Plan for subsequent institutional review and consideration.</w:t>
      </w:r>
    </w:p>
    <w:sectPr w:rsidR="001975F4" w:rsidRPr="00D92DB6" w:rsidSect="00D63B1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0035" w:rsidRDefault="001D0035" w:rsidP="001D0035">
      <w:pPr>
        <w:spacing w:after="0" w:line="240" w:lineRule="auto"/>
      </w:pPr>
      <w:r>
        <w:separator/>
      </w:r>
    </w:p>
  </w:endnote>
  <w:endnote w:type="continuationSeparator" w:id="0">
    <w:p w:rsidR="001D0035" w:rsidRDefault="001D0035" w:rsidP="001D0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9938672"/>
      <w:docPartObj>
        <w:docPartGallery w:val="Page Numbers (Bottom of Page)"/>
        <w:docPartUnique/>
      </w:docPartObj>
    </w:sdtPr>
    <w:sdtEndPr>
      <w:rPr>
        <w:noProof/>
      </w:rPr>
    </w:sdtEndPr>
    <w:sdtContent>
      <w:p w:rsidR="001D0035" w:rsidRDefault="001D00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D0035" w:rsidRDefault="001D0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0035" w:rsidRDefault="001D0035" w:rsidP="001D0035">
      <w:pPr>
        <w:spacing w:after="0" w:line="240" w:lineRule="auto"/>
      </w:pPr>
      <w:r>
        <w:separator/>
      </w:r>
    </w:p>
  </w:footnote>
  <w:footnote w:type="continuationSeparator" w:id="0">
    <w:p w:rsidR="001D0035" w:rsidRDefault="001D0035" w:rsidP="001D00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20A58"/>
    <w:multiLevelType w:val="multilevel"/>
    <w:tmpl w:val="18EED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619EC"/>
    <w:multiLevelType w:val="multilevel"/>
    <w:tmpl w:val="4012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11CCB"/>
    <w:multiLevelType w:val="hybridMultilevel"/>
    <w:tmpl w:val="44780E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E02E4"/>
    <w:multiLevelType w:val="multilevel"/>
    <w:tmpl w:val="12604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14611"/>
    <w:multiLevelType w:val="multilevel"/>
    <w:tmpl w:val="6F80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B3A8C"/>
    <w:multiLevelType w:val="multilevel"/>
    <w:tmpl w:val="A5F2D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62C94"/>
    <w:multiLevelType w:val="multilevel"/>
    <w:tmpl w:val="A96AE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C51D0"/>
    <w:multiLevelType w:val="hybridMultilevel"/>
    <w:tmpl w:val="66DC6C64"/>
    <w:lvl w:ilvl="0" w:tplc="C6CAAB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5279E"/>
    <w:multiLevelType w:val="multilevel"/>
    <w:tmpl w:val="1F22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E519DA"/>
    <w:multiLevelType w:val="hybridMultilevel"/>
    <w:tmpl w:val="D01A031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D148E8"/>
    <w:multiLevelType w:val="multilevel"/>
    <w:tmpl w:val="3C60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057803"/>
    <w:multiLevelType w:val="multilevel"/>
    <w:tmpl w:val="CBD64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2C5D20"/>
    <w:multiLevelType w:val="multilevel"/>
    <w:tmpl w:val="3F726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52151F"/>
    <w:multiLevelType w:val="multilevel"/>
    <w:tmpl w:val="DB585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E66395"/>
    <w:multiLevelType w:val="multilevel"/>
    <w:tmpl w:val="3704D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CE4E0B"/>
    <w:multiLevelType w:val="multilevel"/>
    <w:tmpl w:val="70D8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2D3C2A"/>
    <w:multiLevelType w:val="multilevel"/>
    <w:tmpl w:val="C44AD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666183"/>
    <w:multiLevelType w:val="multilevel"/>
    <w:tmpl w:val="3F726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C137CD"/>
    <w:multiLevelType w:val="multilevel"/>
    <w:tmpl w:val="E38E4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3E1314"/>
    <w:multiLevelType w:val="hybridMultilevel"/>
    <w:tmpl w:val="57FE4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5E287C"/>
    <w:multiLevelType w:val="multilevel"/>
    <w:tmpl w:val="9FBC5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3C74C7"/>
    <w:multiLevelType w:val="multilevel"/>
    <w:tmpl w:val="6D88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D156AD"/>
    <w:multiLevelType w:val="multilevel"/>
    <w:tmpl w:val="F56E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5F2DF6"/>
    <w:multiLevelType w:val="multilevel"/>
    <w:tmpl w:val="FA5EB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9C264A"/>
    <w:multiLevelType w:val="multilevel"/>
    <w:tmpl w:val="44BEB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7"/>
  </w:num>
  <w:num w:numId="3">
    <w:abstractNumId w:val="9"/>
  </w:num>
  <w:num w:numId="4">
    <w:abstractNumId w:val="2"/>
  </w:num>
  <w:num w:numId="5">
    <w:abstractNumId w:val="12"/>
  </w:num>
  <w:num w:numId="6">
    <w:abstractNumId w:val="7"/>
  </w:num>
  <w:num w:numId="7">
    <w:abstractNumId w:val="19"/>
  </w:num>
  <w:num w:numId="8">
    <w:abstractNumId w:val="8"/>
  </w:num>
  <w:num w:numId="9">
    <w:abstractNumId w:val="6"/>
  </w:num>
  <w:num w:numId="10">
    <w:abstractNumId w:val="3"/>
  </w:num>
  <w:num w:numId="11">
    <w:abstractNumId w:val="10"/>
  </w:num>
  <w:num w:numId="12">
    <w:abstractNumId w:val="16"/>
  </w:num>
  <w:num w:numId="13">
    <w:abstractNumId w:val="23"/>
  </w:num>
  <w:num w:numId="14">
    <w:abstractNumId w:val="21"/>
  </w:num>
  <w:num w:numId="15">
    <w:abstractNumId w:val="22"/>
  </w:num>
  <w:num w:numId="16">
    <w:abstractNumId w:val="5"/>
  </w:num>
  <w:num w:numId="17">
    <w:abstractNumId w:val="24"/>
  </w:num>
  <w:num w:numId="18">
    <w:abstractNumId w:val="1"/>
  </w:num>
  <w:num w:numId="19">
    <w:abstractNumId w:val="0"/>
  </w:num>
  <w:num w:numId="20">
    <w:abstractNumId w:val="13"/>
  </w:num>
  <w:num w:numId="21">
    <w:abstractNumId w:val="4"/>
  </w:num>
  <w:num w:numId="22">
    <w:abstractNumId w:val="18"/>
  </w:num>
  <w:num w:numId="23">
    <w:abstractNumId w:val="14"/>
  </w:num>
  <w:num w:numId="24">
    <w:abstractNumId w:val="2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9DA"/>
    <w:rsid w:val="00027180"/>
    <w:rsid w:val="00092B87"/>
    <w:rsid w:val="000E2FC6"/>
    <w:rsid w:val="001975F4"/>
    <w:rsid w:val="001D0035"/>
    <w:rsid w:val="00280690"/>
    <w:rsid w:val="00330453"/>
    <w:rsid w:val="00343CF9"/>
    <w:rsid w:val="00422417"/>
    <w:rsid w:val="00432DAF"/>
    <w:rsid w:val="0044576F"/>
    <w:rsid w:val="00475131"/>
    <w:rsid w:val="00594809"/>
    <w:rsid w:val="005C6836"/>
    <w:rsid w:val="00616855"/>
    <w:rsid w:val="006209A9"/>
    <w:rsid w:val="006D2209"/>
    <w:rsid w:val="00710B95"/>
    <w:rsid w:val="00811319"/>
    <w:rsid w:val="0081363F"/>
    <w:rsid w:val="0081744C"/>
    <w:rsid w:val="00876BDA"/>
    <w:rsid w:val="009B26BC"/>
    <w:rsid w:val="009B2B7A"/>
    <w:rsid w:val="009E5477"/>
    <w:rsid w:val="00A02F11"/>
    <w:rsid w:val="00A241CB"/>
    <w:rsid w:val="00AA6F7D"/>
    <w:rsid w:val="00B9137C"/>
    <w:rsid w:val="00BD7F84"/>
    <w:rsid w:val="00C10DBB"/>
    <w:rsid w:val="00C96D17"/>
    <w:rsid w:val="00D63B14"/>
    <w:rsid w:val="00D719DA"/>
    <w:rsid w:val="00D92DB6"/>
    <w:rsid w:val="00DB3DCA"/>
    <w:rsid w:val="00E5329A"/>
    <w:rsid w:val="00EC6F05"/>
    <w:rsid w:val="00F83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C8594"/>
  <w15:chartTrackingRefBased/>
  <w15:docId w15:val="{5B0ABDA5-EB8A-4EC2-A103-73B8B93CC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19DA"/>
  </w:style>
  <w:style w:type="paragraph" w:styleId="Heading1">
    <w:name w:val="heading 1"/>
    <w:basedOn w:val="Normal"/>
    <w:link w:val="Heading1Char"/>
    <w:uiPriority w:val="9"/>
    <w:qFormat/>
    <w:rsid w:val="00D719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719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719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9D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719D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719DA"/>
    <w:rPr>
      <w:rFonts w:ascii="Times New Roman" w:eastAsia="Times New Roman" w:hAnsi="Times New Roman" w:cs="Times New Roman"/>
      <w:b/>
      <w:bCs/>
      <w:sz w:val="27"/>
      <w:szCs w:val="27"/>
    </w:rPr>
  </w:style>
  <w:style w:type="paragraph" w:styleId="ListParagraph">
    <w:name w:val="List Paragraph"/>
    <w:basedOn w:val="Normal"/>
    <w:uiPriority w:val="34"/>
    <w:qFormat/>
    <w:rsid w:val="0081363F"/>
    <w:pPr>
      <w:ind w:left="720"/>
      <w:contextualSpacing/>
    </w:pPr>
  </w:style>
  <w:style w:type="paragraph" w:styleId="Header">
    <w:name w:val="header"/>
    <w:basedOn w:val="Normal"/>
    <w:link w:val="HeaderChar"/>
    <w:uiPriority w:val="99"/>
    <w:unhideWhenUsed/>
    <w:rsid w:val="001D00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035"/>
  </w:style>
  <w:style w:type="paragraph" w:styleId="Footer">
    <w:name w:val="footer"/>
    <w:basedOn w:val="Normal"/>
    <w:link w:val="FooterChar"/>
    <w:uiPriority w:val="99"/>
    <w:unhideWhenUsed/>
    <w:rsid w:val="001D00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035"/>
  </w:style>
  <w:style w:type="paragraph" w:customStyle="1" w:styleId="isselectedend">
    <w:name w:val="isselectedend"/>
    <w:basedOn w:val="Normal"/>
    <w:rsid w:val="001975F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975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931120">
      <w:bodyDiv w:val="1"/>
      <w:marLeft w:val="0"/>
      <w:marRight w:val="0"/>
      <w:marTop w:val="0"/>
      <w:marBottom w:val="0"/>
      <w:divBdr>
        <w:top w:val="none" w:sz="0" w:space="0" w:color="auto"/>
        <w:left w:val="none" w:sz="0" w:space="0" w:color="auto"/>
        <w:bottom w:val="none" w:sz="0" w:space="0" w:color="auto"/>
        <w:right w:val="none" w:sz="0" w:space="0" w:color="auto"/>
      </w:divBdr>
    </w:div>
    <w:div w:id="634482223">
      <w:bodyDiv w:val="1"/>
      <w:marLeft w:val="0"/>
      <w:marRight w:val="0"/>
      <w:marTop w:val="0"/>
      <w:marBottom w:val="0"/>
      <w:divBdr>
        <w:top w:val="none" w:sz="0" w:space="0" w:color="auto"/>
        <w:left w:val="none" w:sz="0" w:space="0" w:color="auto"/>
        <w:bottom w:val="none" w:sz="0" w:space="0" w:color="auto"/>
        <w:right w:val="none" w:sz="0" w:space="0" w:color="auto"/>
      </w:divBdr>
    </w:div>
    <w:div w:id="1073502933">
      <w:bodyDiv w:val="1"/>
      <w:marLeft w:val="0"/>
      <w:marRight w:val="0"/>
      <w:marTop w:val="0"/>
      <w:marBottom w:val="0"/>
      <w:divBdr>
        <w:top w:val="none" w:sz="0" w:space="0" w:color="auto"/>
        <w:left w:val="none" w:sz="0" w:space="0" w:color="auto"/>
        <w:bottom w:val="none" w:sz="0" w:space="0" w:color="auto"/>
        <w:right w:val="none" w:sz="0" w:space="0" w:color="auto"/>
      </w:divBdr>
    </w:div>
    <w:div w:id="1314024889">
      <w:bodyDiv w:val="1"/>
      <w:marLeft w:val="0"/>
      <w:marRight w:val="0"/>
      <w:marTop w:val="0"/>
      <w:marBottom w:val="0"/>
      <w:divBdr>
        <w:top w:val="none" w:sz="0" w:space="0" w:color="auto"/>
        <w:left w:val="none" w:sz="0" w:space="0" w:color="auto"/>
        <w:bottom w:val="none" w:sz="0" w:space="0" w:color="auto"/>
        <w:right w:val="none" w:sz="0" w:space="0" w:color="auto"/>
      </w:divBdr>
    </w:div>
    <w:div w:id="1812207163">
      <w:bodyDiv w:val="1"/>
      <w:marLeft w:val="0"/>
      <w:marRight w:val="0"/>
      <w:marTop w:val="0"/>
      <w:marBottom w:val="0"/>
      <w:divBdr>
        <w:top w:val="none" w:sz="0" w:space="0" w:color="auto"/>
        <w:left w:val="none" w:sz="0" w:space="0" w:color="auto"/>
        <w:bottom w:val="none" w:sz="0" w:space="0" w:color="auto"/>
        <w:right w:val="none" w:sz="0" w:space="0" w:color="auto"/>
      </w:divBdr>
    </w:div>
    <w:div w:id="197243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4AADF-FE54-4412-88EA-CA5615C88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2423</Words>
  <Characters>13812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Cori</dc:creator>
  <cp:keywords/>
  <dc:description/>
  <cp:lastModifiedBy>Myers, Cori</cp:lastModifiedBy>
  <cp:revision>5</cp:revision>
  <cp:lastPrinted>2026-09-10T17:37:00Z</cp:lastPrinted>
  <dcterms:created xsi:type="dcterms:W3CDTF">2026-09-10T17:32:00Z</dcterms:created>
  <dcterms:modified xsi:type="dcterms:W3CDTF">2026-09-10T18:17:00Z</dcterms:modified>
</cp:coreProperties>
</file>