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9DA" w:rsidRPr="002F3A0E" w:rsidRDefault="00D719DA" w:rsidP="00D719DA">
      <w:pPr>
        <w:pStyle w:val="Heading1"/>
        <w:spacing w:before="0" w:beforeAutospacing="0" w:after="0" w:afterAutospacing="0"/>
        <w:jc w:val="center"/>
        <w:rPr>
          <w:sz w:val="28"/>
          <w:szCs w:val="28"/>
        </w:rPr>
      </w:pPr>
      <w:r w:rsidRPr="002F3A0E">
        <w:rPr>
          <w:sz w:val="28"/>
          <w:szCs w:val="28"/>
        </w:rPr>
        <w:t>Commonwealth University Strategic Plan Refresh</w:t>
      </w:r>
    </w:p>
    <w:p w:rsidR="00D719DA" w:rsidRPr="002F3A0E" w:rsidRDefault="00D719DA" w:rsidP="00D719DA">
      <w:pPr>
        <w:pStyle w:val="Heading2"/>
        <w:spacing w:before="0" w:beforeAutospacing="0" w:after="0" w:afterAutospacing="0"/>
        <w:jc w:val="center"/>
        <w:rPr>
          <w:sz w:val="28"/>
          <w:szCs w:val="28"/>
        </w:rPr>
      </w:pPr>
      <w:r w:rsidRPr="002F3A0E">
        <w:rPr>
          <w:sz w:val="28"/>
          <w:szCs w:val="28"/>
        </w:rPr>
        <w:t>Phase I Summary</w:t>
      </w:r>
    </w:p>
    <w:p w:rsidR="00D719DA" w:rsidRPr="002F3A0E" w:rsidRDefault="00710B95" w:rsidP="00D719DA">
      <w:pPr>
        <w:pStyle w:val="Heading3"/>
        <w:spacing w:before="0" w:beforeAutospacing="0" w:after="0" w:afterAutospacing="0"/>
        <w:jc w:val="center"/>
        <w:rPr>
          <w:sz w:val="28"/>
          <w:szCs w:val="28"/>
        </w:rPr>
      </w:pPr>
      <w:r>
        <w:rPr>
          <w:sz w:val="28"/>
          <w:szCs w:val="28"/>
        </w:rPr>
        <w:t>August</w:t>
      </w:r>
      <w:r w:rsidR="00D719DA" w:rsidRPr="002F3A0E">
        <w:rPr>
          <w:sz w:val="28"/>
          <w:szCs w:val="28"/>
        </w:rPr>
        <w:t xml:space="preserve"> 2026</w:t>
      </w:r>
    </w:p>
    <w:p w:rsidR="00D719DA" w:rsidRPr="00D719DA" w:rsidRDefault="00D719DA" w:rsidP="00D719DA">
      <w:pPr>
        <w:spacing w:after="0" w:line="240" w:lineRule="auto"/>
        <w:outlineLvl w:val="0"/>
        <w:rPr>
          <w:rFonts w:ascii="Times New Roman" w:eastAsia="Times New Roman" w:hAnsi="Times New Roman" w:cs="Times New Roman"/>
          <w:b/>
          <w:bCs/>
          <w:kern w:val="36"/>
          <w:sz w:val="28"/>
          <w:szCs w:val="28"/>
        </w:rPr>
      </w:pPr>
      <w:r w:rsidRPr="00D719DA">
        <w:rPr>
          <w:rFonts w:ascii="Times New Roman" w:eastAsia="Times New Roman" w:hAnsi="Times New Roman" w:cs="Times New Roman"/>
          <w:b/>
          <w:bCs/>
          <w:kern w:val="36"/>
          <w:sz w:val="28"/>
          <w:szCs w:val="28"/>
        </w:rPr>
        <w:t>Purpose</w:t>
      </w:r>
    </w:p>
    <w:p w:rsidR="00D719DA" w:rsidRPr="00D719DA" w:rsidRDefault="00E5329A" w:rsidP="00D719DA">
      <w:pPr>
        <w:numPr>
          <w:ilvl w:val="0"/>
          <w:numId w:val="1"/>
        </w:numPr>
        <w:spacing w:after="0" w:line="240" w:lineRule="auto"/>
        <w:rPr>
          <w:rFonts w:ascii="Times New Roman" w:eastAsia="Times New Roman" w:hAnsi="Times New Roman" w:cs="Times New Roman"/>
        </w:rPr>
      </w:pPr>
      <w:r w:rsidRPr="00E5329A">
        <w:rPr>
          <w:rFonts w:ascii="Times New Roman" w:eastAsia="Times New Roman" w:hAnsi="Times New Roman" w:cs="Times New Roman"/>
        </w:rPr>
        <w:t xml:space="preserve">This summary documents the work completed during Phase I of the Commonwealth University Strategic Plan Refresh and presents the key </w:t>
      </w:r>
      <w:r w:rsidR="00D63B14">
        <w:rPr>
          <w:rFonts w:ascii="Times New Roman" w:eastAsia="Times New Roman" w:hAnsi="Times New Roman" w:cs="Times New Roman"/>
        </w:rPr>
        <w:t xml:space="preserve">findings and </w:t>
      </w:r>
      <w:r w:rsidRPr="00E5329A">
        <w:rPr>
          <w:rFonts w:ascii="Times New Roman" w:eastAsia="Times New Roman" w:hAnsi="Times New Roman" w:cs="Times New Roman"/>
        </w:rPr>
        <w:t>emerging</w:t>
      </w:r>
      <w:r w:rsidR="00D63B14">
        <w:rPr>
          <w:rFonts w:ascii="Times New Roman" w:eastAsia="Times New Roman" w:hAnsi="Times New Roman" w:cs="Times New Roman"/>
        </w:rPr>
        <w:t xml:space="preserve"> themes</w:t>
      </w:r>
      <w:r w:rsidRPr="00E5329A">
        <w:rPr>
          <w:rFonts w:ascii="Times New Roman" w:eastAsia="Times New Roman" w:hAnsi="Times New Roman" w:cs="Times New Roman"/>
        </w:rPr>
        <w:t xml:space="preserve"> from institutional document and data review and stakeholder engagement. These findings will provide the foundation for the next phase of the refresh, including consideration of potential refinements to the current Strategic Plan.</w:t>
      </w:r>
    </w:p>
    <w:p w:rsidR="00D719DA" w:rsidRPr="00D719DA" w:rsidRDefault="00D719DA" w:rsidP="00D719DA">
      <w:pPr>
        <w:spacing w:after="0" w:line="240" w:lineRule="auto"/>
        <w:rPr>
          <w:rFonts w:ascii="Times New Roman" w:eastAsia="Times New Roman" w:hAnsi="Times New Roman" w:cs="Times New Roman"/>
        </w:rPr>
      </w:pPr>
    </w:p>
    <w:p w:rsidR="00D719DA" w:rsidRPr="00D719DA" w:rsidRDefault="00D719DA" w:rsidP="00D719DA">
      <w:pPr>
        <w:spacing w:after="0" w:line="240" w:lineRule="auto"/>
        <w:outlineLvl w:val="0"/>
        <w:rPr>
          <w:rFonts w:ascii="Times New Roman" w:eastAsia="Times New Roman" w:hAnsi="Times New Roman" w:cs="Times New Roman"/>
          <w:b/>
          <w:bCs/>
          <w:kern w:val="36"/>
          <w:sz w:val="28"/>
          <w:szCs w:val="28"/>
        </w:rPr>
      </w:pPr>
      <w:r w:rsidRPr="00D719DA">
        <w:rPr>
          <w:rFonts w:ascii="Times New Roman" w:eastAsia="Times New Roman" w:hAnsi="Times New Roman" w:cs="Times New Roman"/>
          <w:b/>
          <w:bCs/>
          <w:kern w:val="36"/>
          <w:sz w:val="28"/>
          <w:szCs w:val="28"/>
        </w:rPr>
        <w:t>Phase I Work Completed</w:t>
      </w:r>
    </w:p>
    <w:p w:rsidR="00D719DA" w:rsidRPr="00D719DA" w:rsidRDefault="00D719DA" w:rsidP="00D719DA">
      <w:pPr>
        <w:spacing w:after="0" w:line="240" w:lineRule="auto"/>
        <w:rPr>
          <w:rFonts w:ascii="Times New Roman" w:eastAsia="Times New Roman" w:hAnsi="Times New Roman" w:cs="Times New Roman"/>
          <w:b/>
        </w:rPr>
      </w:pPr>
      <w:r w:rsidRPr="00D719DA">
        <w:rPr>
          <w:rFonts w:ascii="Times New Roman" w:eastAsia="Times New Roman" w:hAnsi="Times New Roman" w:cs="Times New Roman"/>
          <w:b/>
        </w:rPr>
        <w:t>Strategic Direction</w:t>
      </w:r>
    </w:p>
    <w:p w:rsidR="00D719DA" w:rsidRPr="00D719DA" w:rsidRDefault="00027180" w:rsidP="00D719DA">
      <w:pPr>
        <w:numPr>
          <w:ilvl w:val="0"/>
          <w:numId w:val="2"/>
        </w:numPr>
        <w:spacing w:after="0" w:line="240" w:lineRule="auto"/>
        <w:rPr>
          <w:rFonts w:ascii="Times New Roman" w:eastAsia="Times New Roman" w:hAnsi="Times New Roman" w:cs="Times New Roman"/>
        </w:rPr>
      </w:pPr>
      <w:r w:rsidRPr="00027180">
        <w:rPr>
          <w:rFonts w:ascii="Times New Roman" w:eastAsia="Times New Roman" w:hAnsi="Times New Roman" w:cs="Times New Roman"/>
        </w:rPr>
        <w:t>Confirmed a strategic plan refresh approach focused on refinement, prioritization, and alignment rather than wholesale redesign through endorsement by Cabinet and the Strategic Planning Committee.</w:t>
      </w:r>
    </w:p>
    <w:p w:rsidR="00D719DA" w:rsidRPr="00D719DA" w:rsidRDefault="00D719DA" w:rsidP="00D719DA">
      <w:pPr>
        <w:spacing w:after="0" w:line="240" w:lineRule="auto"/>
        <w:rPr>
          <w:rFonts w:ascii="Times New Roman" w:eastAsia="Times New Roman" w:hAnsi="Times New Roman" w:cs="Times New Roman"/>
          <w:b/>
        </w:rPr>
      </w:pPr>
      <w:r w:rsidRPr="00D719DA">
        <w:rPr>
          <w:rFonts w:ascii="Times New Roman" w:eastAsia="Times New Roman" w:hAnsi="Times New Roman" w:cs="Times New Roman"/>
          <w:b/>
        </w:rPr>
        <w:t>Document and Data Review</w:t>
      </w:r>
    </w:p>
    <w:p w:rsidR="00D719DA" w:rsidRPr="00027180" w:rsidRDefault="00D719DA" w:rsidP="00D719DA">
      <w:pPr>
        <w:numPr>
          <w:ilvl w:val="0"/>
          <w:numId w:val="2"/>
        </w:numPr>
        <w:spacing w:after="0" w:line="240" w:lineRule="auto"/>
        <w:rPr>
          <w:rFonts w:ascii="Times New Roman" w:eastAsia="Times New Roman" w:hAnsi="Times New Roman" w:cs="Times New Roman"/>
        </w:rPr>
      </w:pPr>
      <w:r w:rsidRPr="00027180">
        <w:rPr>
          <w:rFonts w:ascii="Times New Roman" w:eastAsia="Times New Roman" w:hAnsi="Times New Roman" w:cs="Times New Roman"/>
        </w:rPr>
        <w:t>Completed review and synthesis of key institutional planning, assessment, accreditation, enrollment, and performance documents, including the Climate Survey, Comprehensive Planning Process (CPP), DEI Student Achievement Analysis, IPEDS and enrollment data, MSCHE materials, NSSE 2025, PASSHE priorities, Strategic Plan Progress Reports, and other institutional reports and metrics.</w:t>
      </w:r>
    </w:p>
    <w:p w:rsidR="00D719DA" w:rsidRPr="00027180" w:rsidRDefault="00D719DA" w:rsidP="00D719DA">
      <w:pPr>
        <w:spacing w:after="0" w:line="240" w:lineRule="auto"/>
        <w:rPr>
          <w:rFonts w:ascii="Times New Roman" w:eastAsia="Times New Roman" w:hAnsi="Times New Roman" w:cs="Times New Roman"/>
          <w:b/>
        </w:rPr>
      </w:pPr>
      <w:r w:rsidRPr="00027180">
        <w:rPr>
          <w:rFonts w:ascii="Times New Roman" w:eastAsia="Times New Roman" w:hAnsi="Times New Roman" w:cs="Times New Roman"/>
          <w:b/>
        </w:rPr>
        <w:t>Stakeholder Engagement</w:t>
      </w:r>
    </w:p>
    <w:p w:rsidR="00D719DA" w:rsidRPr="00027180" w:rsidRDefault="00D719DA" w:rsidP="00D719DA">
      <w:pPr>
        <w:numPr>
          <w:ilvl w:val="0"/>
          <w:numId w:val="2"/>
        </w:numPr>
        <w:spacing w:after="0" w:line="240" w:lineRule="auto"/>
        <w:rPr>
          <w:rFonts w:ascii="Times New Roman" w:eastAsia="Times New Roman" w:hAnsi="Times New Roman" w:cs="Times New Roman"/>
        </w:rPr>
      </w:pPr>
      <w:r w:rsidRPr="00027180">
        <w:rPr>
          <w:rFonts w:ascii="Times New Roman" w:eastAsia="Times New Roman" w:hAnsi="Times New Roman" w:cs="Times New Roman"/>
        </w:rPr>
        <w:t xml:space="preserve">Conducted and summarized conversations </w:t>
      </w:r>
      <w:r w:rsidR="00DB3DCA">
        <w:rPr>
          <w:rFonts w:ascii="Times New Roman" w:eastAsia="Times New Roman" w:hAnsi="Times New Roman" w:cs="Times New Roman"/>
        </w:rPr>
        <w:t xml:space="preserve">in </w:t>
      </w:r>
      <w:r w:rsidRPr="00027180">
        <w:rPr>
          <w:rFonts w:ascii="Times New Roman" w:eastAsia="Times New Roman" w:hAnsi="Times New Roman" w:cs="Times New Roman"/>
        </w:rPr>
        <w:t xml:space="preserve">more than </w:t>
      </w:r>
      <w:r w:rsidR="00710B95">
        <w:rPr>
          <w:rFonts w:ascii="Times New Roman" w:eastAsia="Times New Roman" w:hAnsi="Times New Roman" w:cs="Times New Roman"/>
        </w:rPr>
        <w:t>3</w:t>
      </w:r>
      <w:r w:rsidR="00DB3DCA">
        <w:rPr>
          <w:rFonts w:ascii="Times New Roman" w:eastAsia="Times New Roman" w:hAnsi="Times New Roman" w:cs="Times New Roman"/>
        </w:rPr>
        <w:t>0 individual and small group</w:t>
      </w:r>
      <w:r w:rsidRPr="00027180">
        <w:rPr>
          <w:rFonts w:ascii="Times New Roman" w:eastAsia="Times New Roman" w:hAnsi="Times New Roman" w:cs="Times New Roman"/>
        </w:rPr>
        <w:t xml:space="preserve"> employee and community stakeholder</w:t>
      </w:r>
      <w:r w:rsidR="00811319">
        <w:rPr>
          <w:rFonts w:ascii="Times New Roman" w:eastAsia="Times New Roman" w:hAnsi="Times New Roman" w:cs="Times New Roman"/>
        </w:rPr>
        <w:t xml:space="preserve"> sessions, </w:t>
      </w:r>
      <w:r w:rsidRPr="00027180">
        <w:rPr>
          <w:rFonts w:ascii="Times New Roman" w:eastAsia="Times New Roman" w:hAnsi="Times New Roman" w:cs="Times New Roman"/>
        </w:rPr>
        <w:t>representing a range of roles, functions, campuses, and perspectives to better understand institutional strengths, opportunities, challenges, and priorities.</w:t>
      </w:r>
    </w:p>
    <w:p w:rsidR="00E5329A" w:rsidRPr="00E5329A" w:rsidRDefault="00E5329A" w:rsidP="00E5329A">
      <w:pPr>
        <w:pStyle w:val="ListParagraph"/>
        <w:numPr>
          <w:ilvl w:val="0"/>
          <w:numId w:val="2"/>
        </w:numPr>
        <w:spacing w:after="0" w:line="240" w:lineRule="auto"/>
        <w:rPr>
          <w:rFonts w:ascii="Times New Roman" w:eastAsia="Times New Roman" w:hAnsi="Times New Roman" w:cs="Times New Roman"/>
        </w:rPr>
      </w:pPr>
      <w:r w:rsidRPr="00E5329A">
        <w:rPr>
          <w:rFonts w:ascii="Times New Roman" w:eastAsia="Times New Roman" w:hAnsi="Times New Roman" w:cs="Times New Roman"/>
        </w:rPr>
        <w:t>Engaged institutional leadership, academic and administrative representatives, employee groups, students, unions, and community stakeholders to validate findings, identify gaps, and gather diverse perspectives.</w:t>
      </w:r>
    </w:p>
    <w:p w:rsidR="00027180" w:rsidRPr="00027180" w:rsidRDefault="00027180" w:rsidP="00027180">
      <w:pPr>
        <w:spacing w:after="0" w:line="240" w:lineRule="auto"/>
        <w:rPr>
          <w:rFonts w:ascii="Times New Roman" w:hAnsi="Times New Roman" w:cs="Times New Roman"/>
          <w:b/>
        </w:rPr>
      </w:pPr>
      <w:r w:rsidRPr="00027180">
        <w:rPr>
          <w:rFonts w:ascii="Times New Roman" w:hAnsi="Times New Roman" w:cs="Times New Roman"/>
          <w:b/>
        </w:rPr>
        <w:t>Theme Identification and Synthesis</w:t>
      </w:r>
    </w:p>
    <w:p w:rsidR="00D63B14" w:rsidRDefault="00E5329A" w:rsidP="00D63B14">
      <w:pPr>
        <w:pStyle w:val="ListParagraph"/>
        <w:numPr>
          <w:ilvl w:val="0"/>
          <w:numId w:val="7"/>
        </w:numPr>
        <w:spacing w:after="0" w:line="240" w:lineRule="auto"/>
        <w:rPr>
          <w:rFonts w:ascii="Times New Roman" w:hAnsi="Times New Roman" w:cs="Times New Roman"/>
        </w:rPr>
        <w:sectPr w:rsidR="00D63B14">
          <w:footerReference w:type="default" r:id="rId8"/>
          <w:pgSz w:w="12240" w:h="15840"/>
          <w:pgMar w:top="1440" w:right="1440" w:bottom="1440" w:left="1440" w:header="720" w:footer="720" w:gutter="0"/>
          <w:cols w:space="720"/>
          <w:docGrid w:linePitch="360"/>
        </w:sectPr>
      </w:pPr>
      <w:r w:rsidRPr="00E5329A">
        <w:rPr>
          <w:rFonts w:ascii="Times New Roman" w:hAnsi="Times New Roman" w:cs="Times New Roman"/>
        </w:rPr>
        <w:t>Synthesized findings from document review, institutional data, and stakeholder engagement to identify recurring themes, opportunities, and challenges that provide a foundation for consideration of potential Strategic Plan refinements</w:t>
      </w:r>
      <w:r w:rsidR="00027180" w:rsidRPr="00027180">
        <w:rPr>
          <w:rFonts w:ascii="Times New Roman" w:hAnsi="Times New Roman" w:cs="Times New Roman"/>
        </w:rPr>
        <w:t>.</w:t>
      </w:r>
    </w:p>
    <w:p w:rsidR="00D719DA" w:rsidRPr="00D719DA" w:rsidRDefault="00D719DA" w:rsidP="00D719DA">
      <w:pPr>
        <w:spacing w:before="100" w:beforeAutospacing="1" w:after="0" w:line="240" w:lineRule="auto"/>
        <w:outlineLvl w:val="0"/>
        <w:rPr>
          <w:rFonts w:ascii="Times New Roman" w:eastAsia="Times New Roman" w:hAnsi="Times New Roman" w:cs="Times New Roman"/>
          <w:b/>
          <w:bCs/>
          <w:kern w:val="36"/>
          <w:sz w:val="28"/>
          <w:szCs w:val="28"/>
        </w:rPr>
      </w:pPr>
      <w:r w:rsidRPr="00D719DA">
        <w:rPr>
          <w:rFonts w:ascii="Times New Roman" w:eastAsia="Times New Roman" w:hAnsi="Times New Roman" w:cs="Times New Roman"/>
          <w:b/>
          <w:bCs/>
          <w:kern w:val="36"/>
          <w:sz w:val="28"/>
          <w:szCs w:val="28"/>
        </w:rPr>
        <w:t>Emerging Themes from the Review</w:t>
      </w:r>
    </w:p>
    <w:p w:rsidR="001975F4" w:rsidRPr="00D63B14" w:rsidRDefault="00D63B14" w:rsidP="00E66EBA">
      <w:pPr>
        <w:pStyle w:val="ListParagraph"/>
        <w:numPr>
          <w:ilvl w:val="0"/>
          <w:numId w:val="6"/>
        </w:numPr>
        <w:spacing w:before="100" w:beforeAutospacing="1" w:after="100" w:afterAutospacing="1" w:line="240" w:lineRule="auto"/>
        <w:rPr>
          <w:rFonts w:ascii="Times New Roman" w:eastAsia="Times New Roman" w:hAnsi="Times New Roman" w:cs="Times New Roman"/>
        </w:rPr>
      </w:pPr>
      <w:r w:rsidRPr="00D63B14">
        <w:rPr>
          <w:rFonts w:ascii="Times New Roman" w:eastAsia="Times New Roman" w:hAnsi="Times New Roman" w:cs="Times New Roman"/>
          <w:b/>
          <w:bCs/>
        </w:rPr>
        <w:t>Enrollment Decline, Financial Sustainability, and Institutional Rightsizing</w:t>
      </w:r>
      <w:r>
        <w:rPr>
          <w:rFonts w:ascii="Times New Roman" w:eastAsia="Times New Roman" w:hAnsi="Times New Roman" w:cs="Times New Roman"/>
          <w:b/>
          <w:bCs/>
        </w:rPr>
        <w:br/>
      </w:r>
      <w:r w:rsidR="0081363F" w:rsidRPr="00D63B14">
        <w:rPr>
          <w:rFonts w:ascii="Times New Roman" w:eastAsia="Times New Roman" w:hAnsi="Times New Roman" w:cs="Times New Roman"/>
        </w:rPr>
        <w:t>Continued undergraduate enrollment decline, weakening first-year student pipelines, projected FTE reductions, declining unrestricted reserves, infrastructure pressures, maintenance obligations, uneven campus utilization, and operational duplication are reinforcing the need to align staffing, facilities, services, academic offerings, and institutional operations with long-term enrollment realities and sustainable resource capacity. The review also reinforced the importance of improving operational efficiency, clarifying institutional priorities, and making intentional decisions regarding organizational scale, service delivery, and resource allocation. Stakeholders consistently emphasized the need to align institutional planning with enrollment and demographic realities, strengthen understanding of the relationship among enrollment, budgeting, staffing, and sustainability, and ensure that future decisions support long-term institutional viability. Employee and leadership feedback also highlighted concerns regarding staffing capacity, workload sustainability, employee well-being, and the operational implications of long-term resource constraints.</w:t>
      </w:r>
      <w:r w:rsidR="006209A9" w:rsidRPr="00D63B14">
        <w:rPr>
          <w:rFonts w:ascii="Times New Roman" w:eastAsia="Times New Roman" w:hAnsi="Times New Roman" w:cs="Times New Roman"/>
        </w:rPr>
        <w:t xml:space="preserve"> </w:t>
      </w:r>
      <w:r w:rsidR="00710B95" w:rsidRPr="00D63B14">
        <w:rPr>
          <w:rFonts w:ascii="Times New Roman" w:eastAsia="Times New Roman" w:hAnsi="Times New Roman" w:cs="Times New Roman"/>
        </w:rPr>
        <w:t xml:space="preserve">Recent feedback further emphasized the importance of considering how staffing and </w:t>
      </w:r>
      <w:r w:rsidR="00710B95" w:rsidRPr="00D63B14">
        <w:rPr>
          <w:rFonts w:ascii="Times New Roman" w:eastAsia="Times New Roman" w:hAnsi="Times New Roman" w:cs="Times New Roman"/>
        </w:rPr>
        <w:lastRenderedPageBreak/>
        <w:t xml:space="preserve">resource reductions affect the University's capacity to maintain service quality, academic opportunities, student experiences, and other strategic commitments. </w:t>
      </w:r>
      <w:r w:rsidR="006209A9" w:rsidRPr="00D63B14">
        <w:rPr>
          <w:rFonts w:ascii="Times New Roman" w:eastAsia="Times New Roman" w:hAnsi="Times New Roman" w:cs="Times New Roman"/>
        </w:rPr>
        <w:t>At the same time, stakeholders emphasized that long-term sustainability should be balanced with strategic investments that strengthen enrollment competitiveness, academic growth, campus vitality, and institutional resilience.</w:t>
      </w:r>
    </w:p>
    <w:p w:rsidR="0081363F" w:rsidRPr="00D63B14" w:rsidRDefault="00D63B14" w:rsidP="00D67473">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b/>
          <w:bCs/>
        </w:rPr>
      </w:pPr>
      <w:r w:rsidRPr="00D63B14">
        <w:rPr>
          <w:rFonts w:ascii="Times New Roman" w:eastAsia="Times New Roman" w:hAnsi="Times New Roman" w:cs="Times New Roman"/>
          <w:b/>
          <w:bCs/>
        </w:rPr>
        <w:t>CU Identity, Campus Distinctiveness, Regional Engagement, and Institutional Positioning</w:t>
      </w:r>
      <w:r>
        <w:rPr>
          <w:rFonts w:ascii="Times New Roman" w:eastAsia="Times New Roman" w:hAnsi="Times New Roman" w:cs="Times New Roman"/>
          <w:b/>
          <w:bCs/>
        </w:rPr>
        <w:br/>
      </w:r>
      <w:r w:rsidR="0081363F" w:rsidRPr="00D63B14">
        <w:rPr>
          <w:rFonts w:ascii="Times New Roman" w:eastAsia="Times New Roman" w:hAnsi="Times New Roman" w:cs="Times New Roman"/>
        </w:rPr>
        <w:t xml:space="preserve">The review reinforced the importance of strengthening a shared Commonwealth University identity while preserving the distinctive traditions, relationships, student experiences, and regional connections associated with each campus. </w:t>
      </w:r>
      <w:r w:rsidR="00710B95" w:rsidRPr="00D63B14">
        <w:rPr>
          <w:rFonts w:ascii="Times New Roman" w:eastAsia="Times New Roman" w:hAnsi="Times New Roman" w:cs="Times New Roman"/>
        </w:rPr>
        <w:t xml:space="preserve">Recent feedback reinforced that building a cohesive Commonwealth University identity and sense of community remains ongoing work rather than a completed outcome of integration. </w:t>
      </w:r>
      <w:r w:rsidR="0081363F" w:rsidRPr="00D63B14">
        <w:rPr>
          <w:rFonts w:ascii="Times New Roman" w:eastAsia="Times New Roman" w:hAnsi="Times New Roman" w:cs="Times New Roman"/>
        </w:rPr>
        <w:t xml:space="preserve">Stakeholders repeatedly emphasized the need to reduce organizational silos, strengthen cross-campus collaboration, improve perceptions of equity and consistency, and cultivate a stronger sense of shared purpose across the university. The findings also highlighted the importance of balancing campus distinctiveness with enterprise-wide thinking and institutional alignment. The university continues to serve as an important educational, workforce, cultural, and economic contributor within the regions and communities connected to each campus. </w:t>
      </w:r>
      <w:r w:rsidR="00710B95" w:rsidRPr="00D63B14">
        <w:rPr>
          <w:rFonts w:ascii="Times New Roman" w:eastAsia="Times New Roman" w:hAnsi="Times New Roman" w:cs="Times New Roman"/>
        </w:rPr>
        <w:t xml:space="preserve">Community feedback also highlighted opportunities to strengthen coordination between university planning and broader regional planning and development efforts, particularly where education, workforce development, transportation, housing, tourism, and other shared priorities intersect. </w:t>
      </w:r>
      <w:r w:rsidR="0081363F" w:rsidRPr="00D63B14">
        <w:rPr>
          <w:rFonts w:ascii="Times New Roman" w:eastAsia="Times New Roman" w:hAnsi="Times New Roman" w:cs="Times New Roman"/>
        </w:rPr>
        <w:t xml:space="preserve">Continued efforts to strengthen institutional identity, community pride, campus integration, and regional engagement will remain important to organizational cohesion, enrollment success, </w:t>
      </w:r>
      <w:r>
        <w:rPr>
          <w:rFonts w:ascii="Times New Roman" w:eastAsia="Times New Roman" w:hAnsi="Times New Roman" w:cs="Times New Roman"/>
        </w:rPr>
        <w:t xml:space="preserve">institutional positioning, </w:t>
      </w:r>
      <w:r w:rsidR="0081363F" w:rsidRPr="00D63B14">
        <w:rPr>
          <w:rFonts w:ascii="Times New Roman" w:eastAsia="Times New Roman" w:hAnsi="Times New Roman" w:cs="Times New Roman"/>
        </w:rPr>
        <w:t>and long-term sustainability.</w:t>
      </w:r>
      <w:r w:rsidR="006209A9" w:rsidRPr="00D63B14">
        <w:rPr>
          <w:rFonts w:ascii="Times New Roman" w:eastAsia="Times New Roman" w:hAnsi="Times New Roman" w:cs="Times New Roman"/>
        </w:rPr>
        <w:t xml:space="preserve"> Stakeholders also emphasized the importance of clearly articulating the distinctive academic strengths, program offerings, and student experiences associated with each campus to strengthen recruitment, reinforce campus identity, and enhance Commonwealth University's overall enrollment competitiveness.</w:t>
      </w:r>
      <w:r w:rsidR="00F83929" w:rsidRPr="00D63B14">
        <w:rPr>
          <w:rFonts w:ascii="Times New Roman" w:eastAsia="Times New Roman" w:hAnsi="Times New Roman" w:cs="Times New Roman"/>
        </w:rPr>
        <w:t xml:space="preserve"> The findings further suggest that effectively communicating the unique value proposition of each campus, while reinforcing a unified Commonwealth University identity, will be increasingly important to attracting prospective students, strengthening regional engagement, and differentiating the university within an increasingly competitive higher education environment.</w:t>
      </w:r>
    </w:p>
    <w:p w:rsidR="0081363F" w:rsidRPr="00D63B14" w:rsidRDefault="00D63B14" w:rsidP="006313DB">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rPr>
      </w:pPr>
      <w:r w:rsidRPr="00D63B14">
        <w:rPr>
          <w:rFonts w:ascii="Times New Roman" w:eastAsia="Times New Roman" w:hAnsi="Times New Roman" w:cs="Times New Roman"/>
          <w:b/>
          <w:bCs/>
        </w:rPr>
        <w:t>Revenue Diversification, Workforce Partnerships, and Alternative Enrollment Pathways</w:t>
      </w:r>
      <w:r w:rsidRPr="00D63B14">
        <w:rPr>
          <w:rFonts w:ascii="Times New Roman" w:eastAsia="Times New Roman" w:hAnsi="Times New Roman" w:cs="Times New Roman"/>
          <w:b/>
          <w:bCs/>
        </w:rPr>
        <w:br/>
      </w:r>
      <w:r w:rsidR="000E2FC6" w:rsidRPr="00D63B14">
        <w:rPr>
          <w:rFonts w:ascii="Times New Roman" w:eastAsia="Times New Roman" w:hAnsi="Times New Roman" w:cs="Times New Roman"/>
        </w:rPr>
        <w:t xml:space="preserve">Workforce development, non-credit programming, employer partnerships, articulation agreements, early college initiatives, adult learner engagement, flexible instructional delivery, and externally responsive academic programming consistently emerged as areas of strategic importance. </w:t>
      </w:r>
      <w:r w:rsidR="0081363F" w:rsidRPr="00D63B14">
        <w:rPr>
          <w:rFonts w:ascii="Times New Roman" w:eastAsia="Times New Roman" w:hAnsi="Times New Roman" w:cs="Times New Roman"/>
        </w:rPr>
        <w:t>The review suggests that long-term institutional sustainability will require continued development of diversified revenue streams, workforce partnerships, and enrollment pathways beyond traditional undergraduate recruitment. Stakeholders also highlighted the importance of graduate education, community partnerships, and workforce-aligned educational opportunities that respond to regional needs while expanding access and affordability for future students.</w:t>
      </w:r>
      <w:r w:rsidR="00710B95" w:rsidRPr="00D63B14">
        <w:rPr>
          <w:rFonts w:ascii="Times New Roman" w:eastAsia="Times New Roman" w:hAnsi="Times New Roman" w:cs="Times New Roman"/>
        </w:rPr>
        <w:t xml:space="preserve"> </w:t>
      </w:r>
    </w:p>
    <w:p w:rsidR="0081363F" w:rsidRPr="00D63B14" w:rsidRDefault="00D63B14" w:rsidP="00AA69DB">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rPr>
      </w:pPr>
      <w:r w:rsidRPr="00D63B14">
        <w:rPr>
          <w:rFonts w:ascii="Times New Roman" w:eastAsia="Times New Roman" w:hAnsi="Times New Roman" w:cs="Times New Roman"/>
          <w:b/>
          <w:bCs/>
        </w:rPr>
        <w:t>Evolving Student Needs, Expectations, and Experience</w:t>
      </w:r>
      <w:r>
        <w:rPr>
          <w:rFonts w:ascii="Times New Roman" w:eastAsia="Times New Roman" w:hAnsi="Times New Roman" w:cs="Times New Roman"/>
          <w:b/>
          <w:bCs/>
        </w:rPr>
        <w:br/>
      </w:r>
      <w:r w:rsidR="0081363F" w:rsidRPr="00D63B14">
        <w:rPr>
          <w:rFonts w:ascii="Times New Roman" w:eastAsia="Times New Roman" w:hAnsi="Times New Roman" w:cs="Times New Roman"/>
        </w:rPr>
        <w:t xml:space="preserve">Stakeholders consistently emphasized the importance of in-person engagement, student-faculty relationships, and campus experience, </w:t>
      </w:r>
      <w:r w:rsidR="00710B95" w:rsidRPr="00D63B14">
        <w:rPr>
          <w:rFonts w:ascii="Times New Roman" w:eastAsia="Times New Roman" w:hAnsi="Times New Roman" w:cs="Times New Roman"/>
        </w:rPr>
        <w:t>while student registration patterns demonstrate significant use of flexible and online course delivery. Recent feedback also cautioned that registration patterns may not always reflect student preference, as course availability, sequencing, scheduling, and other constraints can influence modality choices.</w:t>
      </w:r>
      <w:r w:rsidR="0081363F" w:rsidRPr="00D63B14">
        <w:rPr>
          <w:rFonts w:ascii="Times New Roman" w:eastAsia="Times New Roman" w:hAnsi="Times New Roman" w:cs="Times New Roman"/>
        </w:rPr>
        <w:t xml:space="preserve"> The findings suggest that student expectations increasingly extend beyond instructional modality and include advising, communication, scheduling flexibility, support services, career preparation, technology use, and overall educational experience. Institutions will need to balance flexibility and convenience with meaningful engagement, academic rigor, student development, and high-quality educational experiences that support persistence, satisfaction, and long-term success.</w:t>
      </w:r>
      <w:r w:rsidR="00710B95" w:rsidRPr="00D63B14">
        <w:rPr>
          <w:rFonts w:ascii="Times New Roman" w:eastAsia="Times New Roman" w:hAnsi="Times New Roman" w:cs="Times New Roman"/>
        </w:rPr>
        <w:t xml:space="preserve"> </w:t>
      </w:r>
      <w:r w:rsidR="00E5329A" w:rsidRPr="00D63B14">
        <w:rPr>
          <w:rFonts w:ascii="Times New Roman" w:eastAsia="Times New Roman" w:hAnsi="Times New Roman" w:cs="Times New Roman"/>
        </w:rPr>
        <w:t xml:space="preserve">The increasing use of virtual environments also reinforces the need to balance accessibility and operational flexibility </w:t>
      </w:r>
      <w:r w:rsidR="00E5329A" w:rsidRPr="00D63B14">
        <w:rPr>
          <w:rFonts w:ascii="Times New Roman" w:eastAsia="Times New Roman" w:hAnsi="Times New Roman" w:cs="Times New Roman"/>
        </w:rPr>
        <w:lastRenderedPageBreak/>
        <w:t>with opportunities for in-person interaction, relationship-building, and a strong sense of campus and institutional community.</w:t>
      </w:r>
    </w:p>
    <w:p w:rsidR="0081363F" w:rsidRPr="00D63B14" w:rsidRDefault="00D63B14" w:rsidP="00BD3B33">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rPr>
      </w:pPr>
      <w:r w:rsidRPr="00D63B14">
        <w:rPr>
          <w:rFonts w:ascii="Times New Roman" w:eastAsia="Times New Roman" w:hAnsi="Times New Roman" w:cs="Times New Roman"/>
          <w:b/>
          <w:bCs/>
        </w:rPr>
        <w:t>Student Belonging, Support, and Persistence</w:t>
      </w:r>
      <w:r>
        <w:rPr>
          <w:rFonts w:ascii="Times New Roman" w:eastAsia="Times New Roman" w:hAnsi="Times New Roman" w:cs="Times New Roman"/>
        </w:rPr>
        <w:br/>
      </w:r>
      <w:r w:rsidR="009E5477" w:rsidRPr="009E5477">
        <w:rPr>
          <w:rFonts w:ascii="Times New Roman" w:eastAsia="Times New Roman" w:hAnsi="Times New Roman" w:cs="Times New Roman"/>
        </w:rPr>
        <w:t>The review highlighted the importance of coordinated student support, relationship-based engagement, and responsive interventions that help students navigate academic, financial, and personal challenges throughout their educational experience</w:t>
      </w:r>
      <w:r w:rsidR="0081363F" w:rsidRPr="00D63B14">
        <w:rPr>
          <w:rFonts w:ascii="Times New Roman" w:eastAsia="Times New Roman" w:hAnsi="Times New Roman" w:cs="Times New Roman"/>
        </w:rPr>
        <w:t>. Increasingly, student success is viewed as a holistic outcome that encompasses access, persistence, belonging, transformative learning, experiential opportunities, and preparation for meaningful careers, lifelong learning, and engaged citizenship.</w:t>
      </w:r>
      <w:r w:rsidR="00710B95" w:rsidRPr="00D63B14">
        <w:rPr>
          <w:rFonts w:ascii="Times New Roman" w:eastAsia="Times New Roman" w:hAnsi="Times New Roman" w:cs="Times New Roman"/>
        </w:rPr>
        <w:t xml:space="preserve"> Community-engaged and service-learning experiences may also strengthen students' sense of place, belonging, connection to the </w:t>
      </w:r>
      <w:r w:rsidR="00E5329A" w:rsidRPr="00D63B14">
        <w:rPr>
          <w:rFonts w:ascii="Times New Roman" w:eastAsia="Times New Roman" w:hAnsi="Times New Roman" w:cs="Times New Roman"/>
        </w:rPr>
        <w:t xml:space="preserve">communities and </w:t>
      </w:r>
      <w:r w:rsidR="00710B95" w:rsidRPr="00D63B14">
        <w:rPr>
          <w:rFonts w:ascii="Times New Roman" w:eastAsia="Times New Roman" w:hAnsi="Times New Roman" w:cs="Times New Roman"/>
        </w:rPr>
        <w:t>regions served by CU, and engagement with their educational experience.</w:t>
      </w:r>
      <w:r w:rsidR="00F83929" w:rsidRPr="00D63B14">
        <w:rPr>
          <w:rFonts w:ascii="Times New Roman" w:eastAsia="Times New Roman" w:hAnsi="Times New Roman" w:cs="Times New Roman"/>
        </w:rPr>
        <w:t xml:space="preserve"> Stakeholders also consistently emphasized the importance of coordinated advising, mentoring, early intervention, and proactive identification of students with elevated risk factors. The findings suggest that effective student success increasingly depends upon coordinated, data-informed systems that connect students with appropriate academic, personal, financial, and career supports throughout their educational experience.</w:t>
      </w:r>
      <w:r w:rsidR="0081363F" w:rsidRPr="00D63B14">
        <w:rPr>
          <w:rFonts w:ascii="Times New Roman" w:eastAsia="Times New Roman" w:hAnsi="Times New Roman" w:cs="Times New Roman"/>
        </w:rPr>
        <w:t xml:space="preserve"> The findings further suggest that student success is a shared institutional responsibility requiring coordinated efforts across faculty, staff, enrollment management, student affairs, academic affairs, and support services. Particular attention may be needed to support first-generation students, adult learners, graduate students, and other populations facing elevated barriers to persistence and completion.</w:t>
      </w:r>
    </w:p>
    <w:p w:rsidR="0081363F" w:rsidRPr="00D63B14" w:rsidRDefault="00D63B14" w:rsidP="00353215">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rPr>
      </w:pPr>
      <w:r w:rsidRPr="00D63B14">
        <w:rPr>
          <w:rFonts w:ascii="Times New Roman" w:eastAsia="Times New Roman" w:hAnsi="Times New Roman" w:cs="Times New Roman"/>
          <w:b/>
          <w:bCs/>
        </w:rPr>
        <w:t>Academic Excellence, Engaged Learning, and Career Preparation</w:t>
      </w:r>
      <w:r>
        <w:rPr>
          <w:rFonts w:ascii="Times New Roman" w:eastAsia="Times New Roman" w:hAnsi="Times New Roman" w:cs="Times New Roman"/>
          <w:b/>
          <w:bCs/>
        </w:rPr>
        <w:br/>
      </w:r>
      <w:r w:rsidRPr="00D63B14">
        <w:rPr>
          <w:rFonts w:ascii="Times New Roman" w:eastAsia="Times New Roman" w:hAnsi="Times New Roman" w:cs="Times New Roman"/>
        </w:rPr>
        <w:t xml:space="preserve">The review identified opportunities to strengthen academic engagement and high-quality learning experiences, including </w:t>
      </w:r>
      <w:r w:rsidR="009B2B7A">
        <w:rPr>
          <w:rFonts w:ascii="Times New Roman" w:eastAsia="Times New Roman" w:hAnsi="Times New Roman" w:cs="Times New Roman"/>
        </w:rPr>
        <w:t xml:space="preserve">the </w:t>
      </w:r>
      <w:r w:rsidR="00594809" w:rsidRPr="00594809">
        <w:rPr>
          <w:rFonts w:ascii="Times New Roman" w:eastAsia="Times New Roman" w:hAnsi="Times New Roman" w:cs="Times New Roman"/>
        </w:rPr>
        <w:t>depth, rigor, and application of student learning</w:t>
      </w:r>
      <w:r w:rsidRPr="00D63B14">
        <w:rPr>
          <w:rFonts w:ascii="Times New Roman" w:eastAsia="Times New Roman" w:hAnsi="Times New Roman" w:cs="Times New Roman"/>
        </w:rPr>
        <w:t>.</w:t>
      </w:r>
      <w:r>
        <w:rPr>
          <w:rFonts w:ascii="Times New Roman" w:eastAsia="Times New Roman" w:hAnsi="Times New Roman" w:cs="Times New Roman"/>
        </w:rPr>
        <w:t xml:space="preserve"> </w:t>
      </w:r>
      <w:r w:rsidR="0081363F" w:rsidRPr="00D63B14">
        <w:rPr>
          <w:rFonts w:ascii="Times New Roman" w:eastAsia="Times New Roman" w:hAnsi="Times New Roman" w:cs="Times New Roman"/>
        </w:rPr>
        <w:t xml:space="preserve">Experiential learning, internships, mentoring, workforce-aligned academic programming, graduate education, employer partnerships, and the growing importance of AI literacy, digital fluency, and technology-enabled work environments emerged repeatedly as institutional strengths and </w:t>
      </w:r>
      <w:r w:rsidR="00C10DBB" w:rsidRPr="00D63B14">
        <w:rPr>
          <w:rFonts w:ascii="Times New Roman" w:eastAsia="Times New Roman" w:hAnsi="Times New Roman" w:cs="Times New Roman"/>
        </w:rPr>
        <w:t>important strategic considerations for the future</w:t>
      </w:r>
      <w:r w:rsidR="0081363F" w:rsidRPr="00D63B14">
        <w:rPr>
          <w:rFonts w:ascii="Times New Roman" w:eastAsia="Times New Roman" w:hAnsi="Times New Roman" w:cs="Times New Roman"/>
        </w:rPr>
        <w:t xml:space="preserve">. The review suggests that emerging technologies, including artificial intelligence, are increasingly shaping workforce expectations, instructional models, student preparation, and institutional operations. </w:t>
      </w:r>
      <w:r w:rsidR="00710B95" w:rsidRPr="00D63B14">
        <w:rPr>
          <w:rFonts w:ascii="Times New Roman" w:eastAsia="Times New Roman" w:hAnsi="Times New Roman" w:cs="Times New Roman"/>
        </w:rPr>
        <w:t xml:space="preserve">Community feedback also emphasized preparing students for evolving workplace expectations, including professional communication, interpersonal skills, collaboration, adaptability, and the ability to work effectively across in-person, remote, and technology-enabled environments. </w:t>
      </w:r>
      <w:r w:rsidR="0081363F" w:rsidRPr="00D63B14">
        <w:rPr>
          <w:rFonts w:ascii="Times New Roman" w:eastAsia="Times New Roman" w:hAnsi="Times New Roman" w:cs="Times New Roman"/>
        </w:rPr>
        <w:t xml:space="preserve">Stakeholders also emphasized that academic excellence extends beyond workforce responsiveness and includes educational quality, student learning outcomes, teaching effectiveness, academic integrity, faculty development, and a culture of learning that prepares students for long-term success and adaptability. </w:t>
      </w:r>
      <w:r w:rsidR="00E5329A" w:rsidRPr="00D63B14">
        <w:rPr>
          <w:rFonts w:ascii="Times New Roman" w:eastAsia="Times New Roman" w:hAnsi="Times New Roman" w:cs="Times New Roman"/>
        </w:rPr>
        <w:t>Stakeholders</w:t>
      </w:r>
      <w:r w:rsidR="00F83929" w:rsidRPr="00D63B14">
        <w:rPr>
          <w:rFonts w:ascii="Times New Roman" w:eastAsia="Times New Roman" w:hAnsi="Times New Roman" w:cs="Times New Roman"/>
        </w:rPr>
        <w:t xml:space="preserve"> also emphasized maintaining competitive academic programs and strategically managing the university's academic portfolio by regularly evaluating program offerings, campus program mix, and emerging academic opportunities to ensure continued alignment with student demand, regional workforce needs, and Commonwealth University's long-term competitive position. </w:t>
      </w:r>
      <w:r w:rsidR="00710B95" w:rsidRPr="00D63B14">
        <w:rPr>
          <w:rFonts w:ascii="Times New Roman" w:eastAsia="Times New Roman" w:hAnsi="Times New Roman" w:cs="Times New Roman"/>
        </w:rPr>
        <w:t xml:space="preserve">Feedback also highlighted opportunities to consider distinctive campus and regional assets when evaluating future academic programs, credentials, experiential learning opportunities, and workforce partnerships. </w:t>
      </w:r>
      <w:r w:rsidR="00092B87" w:rsidRPr="00D63B14">
        <w:rPr>
          <w:rFonts w:ascii="Times New Roman" w:eastAsia="Times New Roman" w:hAnsi="Times New Roman" w:cs="Times New Roman"/>
        </w:rPr>
        <w:t xml:space="preserve">Stakeholders also emphasized the importance of clearly communicating the distinctive academic strengths, specialized facilities, workforce connections, and educational experiences that differentiate Commonwealth University and each campus within an increasingly competitive higher education environment. </w:t>
      </w:r>
      <w:r w:rsidR="0081363F" w:rsidRPr="00D63B14">
        <w:rPr>
          <w:rFonts w:ascii="Times New Roman" w:eastAsia="Times New Roman" w:hAnsi="Times New Roman" w:cs="Times New Roman"/>
        </w:rPr>
        <w:t xml:space="preserve">The findings suggest that institutions must continue strengthening both workforce relevance and academic quality while helping faculty and students adapt to rapidly evolving technological and educational environments. </w:t>
      </w:r>
      <w:r w:rsidR="00594809" w:rsidRPr="00594809">
        <w:rPr>
          <w:rFonts w:ascii="Times New Roman" w:eastAsia="Times New Roman" w:hAnsi="Times New Roman" w:cs="Times New Roman"/>
        </w:rPr>
        <w:t xml:space="preserve">High-impact and career-connected educational experiences were consistently identified as important contributors to student engagement, persistence, career readiness, institutional distinctiveness, and post-graduation success. Stakeholders emphasized the importance of integrating these experiences </w:t>
      </w:r>
      <w:r w:rsidR="00594809" w:rsidRPr="00594809">
        <w:rPr>
          <w:rFonts w:ascii="Times New Roman" w:eastAsia="Times New Roman" w:hAnsi="Times New Roman" w:cs="Times New Roman"/>
        </w:rPr>
        <w:lastRenderedPageBreak/>
        <w:t>more intentionally throughout students’ academic experiences and communicating them as distinguishing features of a CU education</w:t>
      </w:r>
      <w:r w:rsidR="006209A9" w:rsidRPr="00D63B14">
        <w:rPr>
          <w:rFonts w:ascii="Times New Roman" w:eastAsia="Times New Roman" w:hAnsi="Times New Roman" w:cs="Times New Roman"/>
        </w:rPr>
        <w:t>.</w:t>
      </w:r>
    </w:p>
    <w:p w:rsidR="0081363F" w:rsidRPr="00D63B14" w:rsidRDefault="00D63B14" w:rsidP="00C41816">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rPr>
      </w:pPr>
      <w:r w:rsidRPr="00D63B14">
        <w:rPr>
          <w:rFonts w:ascii="Times New Roman" w:eastAsia="Times New Roman" w:hAnsi="Times New Roman" w:cs="Times New Roman"/>
          <w:b/>
          <w:bCs/>
        </w:rPr>
        <w:t>Communication, Organizational Culture, Employee Engagement, Shared Governance, and Trust</w:t>
      </w:r>
      <w:r>
        <w:rPr>
          <w:rFonts w:ascii="Times New Roman" w:eastAsia="Times New Roman" w:hAnsi="Times New Roman" w:cs="Times New Roman"/>
          <w:b/>
          <w:bCs/>
        </w:rPr>
        <w:br/>
      </w:r>
      <w:r w:rsidR="0081363F" w:rsidRPr="00D63B14">
        <w:rPr>
          <w:rFonts w:ascii="Times New Roman" w:eastAsia="Times New Roman" w:hAnsi="Times New Roman" w:cs="Times New Roman"/>
        </w:rPr>
        <w:t xml:space="preserve">Multiple reports, surveys, and discussions highlighted themes related to communication effectiveness, stakeholder engagement, governance clarity, change fatigue, organizational trust, and the importance of transparent and inclusive decision-making processes. </w:t>
      </w:r>
      <w:r w:rsidR="00F83929" w:rsidRPr="00D63B14">
        <w:rPr>
          <w:rFonts w:ascii="Times New Roman" w:eastAsia="Times New Roman" w:hAnsi="Times New Roman" w:cs="Times New Roman"/>
        </w:rPr>
        <w:t>Employee and stakeholder feedback consistently emphasized the importance of timely communication, meaningful opportunities for input, confidence in institutional decision-making, cross-unit collaboration, and a culture in which employees feel heard, valued, respected, engaged, and connected to one another through shared institutional goals.</w:t>
      </w:r>
      <w:r w:rsidR="0081363F" w:rsidRPr="00D63B14">
        <w:rPr>
          <w:rFonts w:ascii="Times New Roman" w:eastAsia="Times New Roman" w:hAnsi="Times New Roman" w:cs="Times New Roman"/>
        </w:rPr>
        <w:t xml:space="preserve"> </w:t>
      </w:r>
      <w:r w:rsidR="00475131" w:rsidRPr="00D63B14">
        <w:rPr>
          <w:rFonts w:ascii="Times New Roman" w:eastAsia="Times New Roman" w:hAnsi="Times New Roman" w:cs="Times New Roman"/>
        </w:rPr>
        <w:t xml:space="preserve">Recent employee feedback further emphasized that engagement and organizational trust are influenced not only by communication, but also by meaningful recognition, professional growth, respectful supervisory relationships, opportunities for involvement, and </w:t>
      </w:r>
      <w:r w:rsidR="00E5329A" w:rsidRPr="00D63B14">
        <w:rPr>
          <w:rFonts w:ascii="Times New Roman" w:eastAsia="Times New Roman" w:hAnsi="Times New Roman" w:cs="Times New Roman"/>
        </w:rPr>
        <w:t xml:space="preserve">a clear </w:t>
      </w:r>
      <w:r w:rsidR="00475131" w:rsidRPr="00D63B14">
        <w:rPr>
          <w:rFonts w:ascii="Times New Roman" w:eastAsia="Times New Roman" w:hAnsi="Times New Roman" w:cs="Times New Roman"/>
        </w:rPr>
        <w:t xml:space="preserve">understanding </w:t>
      </w:r>
      <w:r w:rsidR="00B9137C" w:rsidRPr="00D63B14">
        <w:rPr>
          <w:rFonts w:ascii="Times New Roman" w:eastAsia="Times New Roman" w:hAnsi="Times New Roman" w:cs="Times New Roman"/>
        </w:rPr>
        <w:t xml:space="preserve">of </w:t>
      </w:r>
      <w:r w:rsidR="00475131" w:rsidRPr="00D63B14">
        <w:rPr>
          <w:rFonts w:ascii="Times New Roman" w:eastAsia="Times New Roman" w:hAnsi="Times New Roman" w:cs="Times New Roman"/>
        </w:rPr>
        <w:t xml:space="preserve">the rationale behind institutional decisions. </w:t>
      </w:r>
      <w:r w:rsidR="0081363F" w:rsidRPr="00D63B14">
        <w:rPr>
          <w:rFonts w:ascii="Times New Roman" w:eastAsia="Times New Roman" w:hAnsi="Times New Roman" w:cs="Times New Roman"/>
        </w:rPr>
        <w:t>Common concerns included information flow across organizational levels, employee understanding of institutional priorities, leadership alignment, and the need to translate strategic priorities into clear and actionable expectations.</w:t>
      </w:r>
      <w:r w:rsidR="00092B87" w:rsidRPr="00D63B14">
        <w:rPr>
          <w:rFonts w:ascii="Times New Roman" w:eastAsia="Times New Roman" w:hAnsi="Times New Roman" w:cs="Times New Roman"/>
        </w:rPr>
        <w:t xml:space="preserve"> </w:t>
      </w:r>
      <w:r w:rsidR="00475131" w:rsidRPr="00D63B14">
        <w:rPr>
          <w:rFonts w:ascii="Times New Roman" w:eastAsia="Times New Roman" w:hAnsi="Times New Roman" w:cs="Times New Roman"/>
        </w:rPr>
        <w:t>Stakeholders also emphasized the importance of proactive internal and external communication—consistently communicating institutional plans and accomplishments, reinforcing Commonwealth University's value proposition, addressing uncertainty and misinformation, celebrating successes, and empowering faculty, staff, students, alumni, and community partners to serve as informed ambassadors for the University.</w:t>
      </w:r>
      <w:r w:rsidR="0081363F" w:rsidRPr="00D63B14">
        <w:rPr>
          <w:rFonts w:ascii="Times New Roman" w:eastAsia="Times New Roman" w:hAnsi="Times New Roman" w:cs="Times New Roman"/>
        </w:rPr>
        <w:t xml:space="preserve"> The findings suggest that communication,</w:t>
      </w:r>
      <w:r w:rsidR="00F83929" w:rsidRPr="00D63B14">
        <w:rPr>
          <w:rFonts w:ascii="Times New Roman" w:eastAsia="Times New Roman" w:hAnsi="Times New Roman" w:cs="Times New Roman"/>
        </w:rPr>
        <w:t xml:space="preserve"> collaboration,</w:t>
      </w:r>
      <w:r w:rsidR="0081363F" w:rsidRPr="00D63B14">
        <w:rPr>
          <w:rFonts w:ascii="Times New Roman" w:eastAsia="Times New Roman" w:hAnsi="Times New Roman" w:cs="Times New Roman"/>
        </w:rPr>
        <w:t xml:space="preserve"> organizational trust, shared responsibility, and institutional alignment are increasingly interconnected drivers of successful implementation and organizational change.</w:t>
      </w:r>
    </w:p>
    <w:p w:rsidR="0081363F" w:rsidRPr="00D63B14" w:rsidRDefault="00D63B14" w:rsidP="00D63B14">
      <w:pPr>
        <w:pStyle w:val="ListParagraph"/>
        <w:numPr>
          <w:ilvl w:val="0"/>
          <w:numId w:val="6"/>
        </w:numPr>
        <w:spacing w:before="100" w:beforeAutospacing="1" w:after="100" w:afterAutospacing="1" w:line="240" w:lineRule="auto"/>
        <w:outlineLvl w:val="1"/>
        <w:rPr>
          <w:rFonts w:ascii="Times New Roman" w:eastAsia="Times New Roman" w:hAnsi="Times New Roman" w:cs="Times New Roman"/>
          <w:b/>
          <w:bCs/>
        </w:rPr>
      </w:pPr>
      <w:r w:rsidRPr="00D63B14">
        <w:rPr>
          <w:rFonts w:ascii="Times New Roman" w:eastAsia="Times New Roman" w:hAnsi="Times New Roman" w:cs="Times New Roman"/>
          <w:b/>
          <w:bCs/>
        </w:rPr>
        <w:t>Financial Vulnerability, Equity Gaps, and Uneven Student Outcomes</w:t>
      </w:r>
    </w:p>
    <w:p w:rsidR="0081363F" w:rsidRPr="00D63B14" w:rsidRDefault="0081363F" w:rsidP="00D63B14">
      <w:pPr>
        <w:pStyle w:val="ListParagraph"/>
        <w:spacing w:before="100" w:beforeAutospacing="1" w:after="100" w:afterAutospacing="1" w:line="240" w:lineRule="auto"/>
        <w:rPr>
          <w:rFonts w:ascii="Times New Roman" w:eastAsia="Times New Roman" w:hAnsi="Times New Roman" w:cs="Times New Roman"/>
        </w:rPr>
      </w:pPr>
      <w:r w:rsidRPr="00D63B14">
        <w:rPr>
          <w:rFonts w:ascii="Times New Roman" w:eastAsia="Times New Roman" w:hAnsi="Times New Roman" w:cs="Times New Roman"/>
        </w:rPr>
        <w:t>The review identified persistent retention and graduation gaps for underrepresented minority, Pell-eligible, first-generation, and other historically underserved student populations, particularly among students with multiple overlapping risk factors. The findings also reinforced the impact of financial insecurity, unmet basic needs, and unexpected life circumstances on student persistence, retention, and degree completion. Stakeholders consistently emphasized the importance of addressing equity gaps, affordability challenges, financial vulnerability, and barriers that disproportionately affect student success outcomes. The review suggests that continued progress will require intentional efforts to improve access, persistence, achievement, and degree attainment across student populations while reducing disparities in educational outcomes.</w:t>
      </w:r>
    </w:p>
    <w:p w:rsidR="001975F4" w:rsidRPr="00D63B14" w:rsidRDefault="00D63B14" w:rsidP="0086643A">
      <w:pPr>
        <w:pStyle w:val="ListParagraph"/>
        <w:numPr>
          <w:ilvl w:val="0"/>
          <w:numId w:val="6"/>
        </w:numPr>
        <w:spacing w:before="100" w:beforeAutospacing="1" w:after="100" w:afterAutospacing="1" w:line="240" w:lineRule="auto"/>
        <w:rPr>
          <w:rFonts w:ascii="Times New Roman" w:eastAsia="Times New Roman" w:hAnsi="Times New Roman" w:cs="Times New Roman"/>
        </w:rPr>
      </w:pPr>
      <w:r w:rsidRPr="00D63B14">
        <w:rPr>
          <w:rFonts w:ascii="Times New Roman" w:eastAsia="Times New Roman" w:hAnsi="Times New Roman" w:cs="Times New Roman"/>
          <w:b/>
          <w:bCs/>
        </w:rPr>
        <w:t>Institutional Effectiveness, Evidence-Informed Decision-Making, Accountability, and Strategic Execution</w:t>
      </w:r>
      <w:r>
        <w:rPr>
          <w:rFonts w:ascii="Times New Roman" w:eastAsia="Times New Roman" w:hAnsi="Times New Roman" w:cs="Times New Roman"/>
          <w:b/>
          <w:bCs/>
        </w:rPr>
        <w:br/>
      </w:r>
      <w:r w:rsidR="0081363F" w:rsidRPr="00D63B14">
        <w:rPr>
          <w:rFonts w:ascii="Times New Roman" w:eastAsia="Times New Roman" w:hAnsi="Times New Roman" w:cs="Times New Roman"/>
        </w:rPr>
        <w:t xml:space="preserve">MSCHE requirements and internal reviews reinforced the need for stronger assessment infrastructure, measurable learning outcomes, systematic improvement cycles, and clearer connections among planning, assessment, budgeting, resource allocation, and institutional decision-making. The review also suggested opportunities to improve operational effectiveness, student support, educational quality, and institutional decision-making through more coordinated and responsible use of technology and data-informed practices. Stakeholders repeatedly emphasized the importance of translating strategic priorities into actionable goals, aligning planning efforts across organizational levels, </w:t>
      </w:r>
      <w:r w:rsidR="00F83929" w:rsidRPr="00D63B14">
        <w:rPr>
          <w:rFonts w:ascii="Times New Roman" w:eastAsia="Times New Roman" w:hAnsi="Times New Roman" w:cs="Times New Roman"/>
        </w:rPr>
        <w:t xml:space="preserve">strengthening collaboration across academic and administrative units, </w:t>
      </w:r>
      <w:r w:rsidR="0081363F" w:rsidRPr="00D63B14">
        <w:rPr>
          <w:rFonts w:ascii="Times New Roman" w:eastAsia="Times New Roman" w:hAnsi="Times New Roman" w:cs="Times New Roman"/>
        </w:rPr>
        <w:t>improving execution, and ensuring institutional decisions are informed by evidence and measurable outcomes.</w:t>
      </w:r>
      <w:r w:rsidR="00475131" w:rsidRPr="00D63B14">
        <w:rPr>
          <w:rFonts w:ascii="Times New Roman" w:eastAsia="Times New Roman" w:hAnsi="Times New Roman" w:cs="Times New Roman"/>
        </w:rPr>
        <w:t xml:space="preserve"> Recent feedback also reinforced the importance of periodically reassessing strategic initiatives and measures to ensure they remain feasible, meaningful, outcome-oriented, and relevant to current institutional conditions rather than continuing measures or activities that no longer provide useful evidence of progress.</w:t>
      </w:r>
      <w:r w:rsidR="0081363F" w:rsidRPr="00D63B14">
        <w:rPr>
          <w:rFonts w:ascii="Times New Roman" w:eastAsia="Times New Roman" w:hAnsi="Times New Roman" w:cs="Times New Roman"/>
        </w:rPr>
        <w:t xml:space="preserve"> </w:t>
      </w:r>
      <w:r w:rsidR="00BD7F84" w:rsidRPr="00D63B14">
        <w:rPr>
          <w:rFonts w:ascii="Times New Roman" w:eastAsia="Times New Roman" w:hAnsi="Times New Roman" w:cs="Times New Roman"/>
        </w:rPr>
        <w:t xml:space="preserve">Across stakeholder discussions, there was broad agreement that the university's greatest opportunity lies less in identifying additional priorities than in consistently implementing existing priorities </w:t>
      </w:r>
      <w:r w:rsidR="00BD7F84" w:rsidRPr="00D63B14">
        <w:rPr>
          <w:rFonts w:ascii="Times New Roman" w:eastAsia="Times New Roman" w:hAnsi="Times New Roman" w:cs="Times New Roman"/>
        </w:rPr>
        <w:lastRenderedPageBreak/>
        <w:t xml:space="preserve">through coordinated leadership, cross-unit collaboration, measurable accountability, and sustained organizational focus. </w:t>
      </w:r>
      <w:r w:rsidR="0081363F" w:rsidRPr="00D63B14">
        <w:rPr>
          <w:rFonts w:ascii="Times New Roman" w:eastAsia="Times New Roman" w:hAnsi="Times New Roman" w:cs="Times New Roman"/>
        </w:rPr>
        <w:t>The findings further suggest that institutional effectiveness increasingly depends upon organizational alignment, accountability, continuous improvement, and the successful implementation of strategic priorities throughout the university</w:t>
      </w:r>
      <w:r w:rsidR="00594809">
        <w:rPr>
          <w:rFonts w:ascii="Times New Roman" w:eastAsia="Times New Roman" w:hAnsi="Times New Roman" w:cs="Times New Roman"/>
        </w:rPr>
        <w:t>.</w:t>
      </w:r>
    </w:p>
    <w:p w:rsidR="00330453" w:rsidRDefault="001975F4" w:rsidP="00330453">
      <w:pPr>
        <w:pStyle w:val="Heading3"/>
        <w:spacing w:before="0" w:beforeAutospacing="0" w:after="0" w:afterAutospacing="0"/>
        <w:contextualSpacing/>
        <w:rPr>
          <w:sz w:val="28"/>
          <w:szCs w:val="28"/>
        </w:rPr>
      </w:pPr>
      <w:r w:rsidRPr="001975F4">
        <w:rPr>
          <w:sz w:val="28"/>
          <w:szCs w:val="28"/>
        </w:rPr>
        <w:t>Next Steps</w:t>
      </w:r>
    </w:p>
    <w:p w:rsidR="00330453" w:rsidRPr="00330453" w:rsidRDefault="00330453" w:rsidP="00330453">
      <w:pPr>
        <w:pStyle w:val="Heading3"/>
        <w:spacing w:after="0"/>
        <w:contextualSpacing/>
        <w:rPr>
          <w:b w:val="0"/>
          <w:sz w:val="22"/>
          <w:szCs w:val="22"/>
        </w:rPr>
      </w:pPr>
      <w:r w:rsidRPr="00330453">
        <w:rPr>
          <w:b w:val="0"/>
          <w:sz w:val="22"/>
          <w:szCs w:val="22"/>
        </w:rPr>
        <w:t xml:space="preserve">With Phase I complete, </w:t>
      </w:r>
      <w:r>
        <w:rPr>
          <w:b w:val="0"/>
          <w:sz w:val="22"/>
          <w:szCs w:val="22"/>
        </w:rPr>
        <w:t>Phase II</w:t>
      </w:r>
      <w:r w:rsidRPr="00330453">
        <w:rPr>
          <w:b w:val="0"/>
          <w:sz w:val="22"/>
          <w:szCs w:val="22"/>
        </w:rPr>
        <w:t xml:space="preserve"> of the Strategic Plan Refresh will focus on:</w:t>
      </w:r>
    </w:p>
    <w:p w:rsidR="00330453" w:rsidRPr="00330453" w:rsidRDefault="00594809" w:rsidP="00330453">
      <w:pPr>
        <w:pStyle w:val="Heading3"/>
        <w:numPr>
          <w:ilvl w:val="0"/>
          <w:numId w:val="5"/>
        </w:numPr>
        <w:spacing w:after="0"/>
        <w:contextualSpacing/>
        <w:rPr>
          <w:b w:val="0"/>
          <w:sz w:val="22"/>
          <w:szCs w:val="22"/>
        </w:rPr>
      </w:pPr>
      <w:r w:rsidRPr="00594809">
        <w:rPr>
          <w:b w:val="0"/>
          <w:sz w:val="22"/>
          <w:szCs w:val="22"/>
        </w:rPr>
        <w:t>translating the Phase I findings into proposed refinements to the current Strategic Plan, with primary attention to initiatives and measures and limited changes to the high-level framework where warranted</w:t>
      </w:r>
      <w:r w:rsidR="00330453" w:rsidRPr="00330453">
        <w:rPr>
          <w:b w:val="0"/>
          <w:sz w:val="22"/>
          <w:szCs w:val="22"/>
        </w:rPr>
        <w:t>;</w:t>
      </w:r>
    </w:p>
    <w:p w:rsidR="00330453" w:rsidRPr="00330453" w:rsidRDefault="00330453" w:rsidP="00330453">
      <w:pPr>
        <w:pStyle w:val="Heading3"/>
        <w:numPr>
          <w:ilvl w:val="0"/>
          <w:numId w:val="5"/>
        </w:numPr>
        <w:spacing w:after="0"/>
        <w:contextualSpacing/>
        <w:rPr>
          <w:b w:val="0"/>
          <w:sz w:val="22"/>
          <w:szCs w:val="22"/>
        </w:rPr>
      </w:pPr>
      <w:r w:rsidRPr="00330453">
        <w:rPr>
          <w:b w:val="0"/>
          <w:sz w:val="22"/>
          <w:szCs w:val="22"/>
        </w:rPr>
        <w:t>socializing the Phase I findings and proposed areas of focus more broadly across the university and providing opportunities for faculty, staff, students, and other stakeholders to offer input;</w:t>
      </w:r>
    </w:p>
    <w:p w:rsidR="00330453" w:rsidRPr="00330453" w:rsidRDefault="00330453" w:rsidP="00330453">
      <w:pPr>
        <w:pStyle w:val="Heading3"/>
        <w:numPr>
          <w:ilvl w:val="0"/>
          <w:numId w:val="5"/>
        </w:numPr>
        <w:spacing w:after="0"/>
        <w:contextualSpacing/>
        <w:rPr>
          <w:b w:val="0"/>
          <w:sz w:val="22"/>
          <w:szCs w:val="22"/>
        </w:rPr>
      </w:pPr>
      <w:r w:rsidRPr="00330453">
        <w:rPr>
          <w:b w:val="0"/>
          <w:sz w:val="22"/>
          <w:szCs w:val="22"/>
        </w:rPr>
        <w:t>engaging the Strategic Planning Committee in reviewing and deliberating on the Phase I findings, proposed revisions, and stakeholder feedback;</w:t>
      </w:r>
    </w:p>
    <w:p w:rsidR="00330453" w:rsidRPr="00330453" w:rsidRDefault="00330453" w:rsidP="00330453">
      <w:pPr>
        <w:pStyle w:val="Heading3"/>
        <w:numPr>
          <w:ilvl w:val="0"/>
          <w:numId w:val="5"/>
        </w:numPr>
        <w:spacing w:after="0"/>
        <w:contextualSpacing/>
        <w:rPr>
          <w:b w:val="0"/>
          <w:sz w:val="22"/>
          <w:szCs w:val="22"/>
        </w:rPr>
      </w:pPr>
      <w:r w:rsidRPr="00330453">
        <w:rPr>
          <w:b w:val="0"/>
          <w:sz w:val="22"/>
          <w:szCs w:val="22"/>
        </w:rPr>
        <w:t xml:space="preserve">using broader stakeholder and committee feedback to </w:t>
      </w:r>
      <w:r w:rsidR="009E5477">
        <w:rPr>
          <w:b w:val="0"/>
          <w:sz w:val="22"/>
          <w:szCs w:val="22"/>
        </w:rPr>
        <w:t>develop</w:t>
      </w:r>
      <w:r w:rsidRPr="00330453">
        <w:rPr>
          <w:b w:val="0"/>
          <w:sz w:val="22"/>
          <w:szCs w:val="22"/>
        </w:rPr>
        <w:t xml:space="preserve"> the proposed re</w:t>
      </w:r>
      <w:r w:rsidR="009E5477">
        <w:rPr>
          <w:b w:val="0"/>
          <w:sz w:val="22"/>
          <w:szCs w:val="22"/>
        </w:rPr>
        <w:t>finements</w:t>
      </w:r>
      <w:bookmarkStart w:id="0" w:name="_GoBack"/>
      <w:bookmarkEnd w:id="0"/>
      <w:r w:rsidRPr="00330453">
        <w:rPr>
          <w:b w:val="0"/>
          <w:sz w:val="22"/>
          <w:szCs w:val="22"/>
        </w:rPr>
        <w:t>; and</w:t>
      </w:r>
    </w:p>
    <w:p w:rsidR="001975F4" w:rsidRPr="00D92DB6" w:rsidRDefault="00330453" w:rsidP="00330453">
      <w:pPr>
        <w:pStyle w:val="Heading3"/>
        <w:numPr>
          <w:ilvl w:val="0"/>
          <w:numId w:val="5"/>
        </w:numPr>
        <w:spacing w:before="0" w:beforeAutospacing="0" w:after="0" w:afterAutospacing="0"/>
        <w:contextualSpacing/>
      </w:pPr>
      <w:r w:rsidRPr="00330453">
        <w:rPr>
          <w:b w:val="0"/>
          <w:sz w:val="22"/>
          <w:szCs w:val="22"/>
        </w:rPr>
        <w:t>advancing a refreshed Strategic Plan for subsequent institutional review and consideration.</w:t>
      </w:r>
    </w:p>
    <w:sectPr w:rsidR="001975F4" w:rsidRPr="00D92DB6" w:rsidSect="00D63B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035" w:rsidRDefault="001D0035" w:rsidP="001D0035">
      <w:pPr>
        <w:spacing w:after="0" w:line="240" w:lineRule="auto"/>
      </w:pPr>
      <w:r>
        <w:separator/>
      </w:r>
    </w:p>
  </w:endnote>
  <w:endnote w:type="continuationSeparator" w:id="0">
    <w:p w:rsidR="001D0035" w:rsidRDefault="001D0035" w:rsidP="001D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938672"/>
      <w:docPartObj>
        <w:docPartGallery w:val="Page Numbers (Bottom of Page)"/>
        <w:docPartUnique/>
      </w:docPartObj>
    </w:sdtPr>
    <w:sdtEndPr>
      <w:rPr>
        <w:noProof/>
      </w:rPr>
    </w:sdtEndPr>
    <w:sdtContent>
      <w:p w:rsidR="001D0035" w:rsidRDefault="001D00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1D0035" w:rsidRDefault="001D0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035" w:rsidRDefault="001D0035" w:rsidP="001D0035">
      <w:pPr>
        <w:spacing w:after="0" w:line="240" w:lineRule="auto"/>
      </w:pPr>
      <w:r>
        <w:separator/>
      </w:r>
    </w:p>
  </w:footnote>
  <w:footnote w:type="continuationSeparator" w:id="0">
    <w:p w:rsidR="001D0035" w:rsidRDefault="001D0035" w:rsidP="001D00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1CCB"/>
    <w:multiLevelType w:val="hybridMultilevel"/>
    <w:tmpl w:val="44780E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6C51D0"/>
    <w:multiLevelType w:val="hybridMultilevel"/>
    <w:tmpl w:val="66DC6C64"/>
    <w:lvl w:ilvl="0" w:tplc="C6CAAB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E519DA"/>
    <w:multiLevelType w:val="hybridMultilevel"/>
    <w:tmpl w:val="D01A03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057803"/>
    <w:multiLevelType w:val="multilevel"/>
    <w:tmpl w:val="CBD6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2C5D20"/>
    <w:multiLevelType w:val="multilevel"/>
    <w:tmpl w:val="3F72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666183"/>
    <w:multiLevelType w:val="multilevel"/>
    <w:tmpl w:val="3F72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3E1314"/>
    <w:multiLevelType w:val="hybridMultilevel"/>
    <w:tmpl w:val="57FE4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9DA"/>
    <w:rsid w:val="00027180"/>
    <w:rsid w:val="00092B87"/>
    <w:rsid w:val="000E2FC6"/>
    <w:rsid w:val="001975F4"/>
    <w:rsid w:val="001D0035"/>
    <w:rsid w:val="00280690"/>
    <w:rsid w:val="00330453"/>
    <w:rsid w:val="00343CF9"/>
    <w:rsid w:val="00422417"/>
    <w:rsid w:val="00432DAF"/>
    <w:rsid w:val="00475131"/>
    <w:rsid w:val="00594809"/>
    <w:rsid w:val="005C6836"/>
    <w:rsid w:val="006209A9"/>
    <w:rsid w:val="006D2209"/>
    <w:rsid w:val="00710B95"/>
    <w:rsid w:val="00811319"/>
    <w:rsid w:val="0081363F"/>
    <w:rsid w:val="0081744C"/>
    <w:rsid w:val="009B2B7A"/>
    <w:rsid w:val="009E5477"/>
    <w:rsid w:val="00A02F11"/>
    <w:rsid w:val="00A241CB"/>
    <w:rsid w:val="00B9137C"/>
    <w:rsid w:val="00BD7F84"/>
    <w:rsid w:val="00C10DBB"/>
    <w:rsid w:val="00C96D17"/>
    <w:rsid w:val="00D63B14"/>
    <w:rsid w:val="00D719DA"/>
    <w:rsid w:val="00D92DB6"/>
    <w:rsid w:val="00DB3DCA"/>
    <w:rsid w:val="00E5329A"/>
    <w:rsid w:val="00EC6F05"/>
    <w:rsid w:val="00F83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4141F"/>
  <w15:chartTrackingRefBased/>
  <w15:docId w15:val="{5B0ABDA5-EB8A-4EC2-A103-73B8B93CC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9DA"/>
  </w:style>
  <w:style w:type="paragraph" w:styleId="Heading1">
    <w:name w:val="heading 1"/>
    <w:basedOn w:val="Normal"/>
    <w:link w:val="Heading1Char"/>
    <w:uiPriority w:val="9"/>
    <w:qFormat/>
    <w:rsid w:val="00D719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719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719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D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719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719DA"/>
    <w:rPr>
      <w:rFonts w:ascii="Times New Roman" w:eastAsia="Times New Roman" w:hAnsi="Times New Roman" w:cs="Times New Roman"/>
      <w:b/>
      <w:bCs/>
      <w:sz w:val="27"/>
      <w:szCs w:val="27"/>
    </w:rPr>
  </w:style>
  <w:style w:type="paragraph" w:styleId="ListParagraph">
    <w:name w:val="List Paragraph"/>
    <w:basedOn w:val="Normal"/>
    <w:uiPriority w:val="34"/>
    <w:qFormat/>
    <w:rsid w:val="0081363F"/>
    <w:pPr>
      <w:ind w:left="720"/>
      <w:contextualSpacing/>
    </w:pPr>
  </w:style>
  <w:style w:type="paragraph" w:styleId="Header">
    <w:name w:val="header"/>
    <w:basedOn w:val="Normal"/>
    <w:link w:val="HeaderChar"/>
    <w:uiPriority w:val="99"/>
    <w:unhideWhenUsed/>
    <w:rsid w:val="001D0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035"/>
  </w:style>
  <w:style w:type="paragraph" w:styleId="Footer">
    <w:name w:val="footer"/>
    <w:basedOn w:val="Normal"/>
    <w:link w:val="FooterChar"/>
    <w:uiPriority w:val="99"/>
    <w:unhideWhenUsed/>
    <w:rsid w:val="001D0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035"/>
  </w:style>
  <w:style w:type="paragraph" w:customStyle="1" w:styleId="isselectedend">
    <w:name w:val="isselectedend"/>
    <w:basedOn w:val="Normal"/>
    <w:rsid w:val="001975F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975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482223">
      <w:bodyDiv w:val="1"/>
      <w:marLeft w:val="0"/>
      <w:marRight w:val="0"/>
      <w:marTop w:val="0"/>
      <w:marBottom w:val="0"/>
      <w:divBdr>
        <w:top w:val="none" w:sz="0" w:space="0" w:color="auto"/>
        <w:left w:val="none" w:sz="0" w:space="0" w:color="auto"/>
        <w:bottom w:val="none" w:sz="0" w:space="0" w:color="auto"/>
        <w:right w:val="none" w:sz="0" w:space="0" w:color="auto"/>
      </w:divBdr>
    </w:div>
    <w:div w:id="197243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A2D56-DD33-47E5-BC9E-7BED00786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2668</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Myers, Cori</dc:creator>
  <cp:keywords/>
  <dc:description/>
  <cp:lastModifiedBy>Myers, Cori</cp:lastModifiedBy>
  <cp:revision>10</cp:revision>
  <cp:lastPrinted>2026-08-13T15:02:00Z</cp:lastPrinted>
  <dcterms:created xsi:type="dcterms:W3CDTF">2026-08-13T13:56:00Z</dcterms:created>
  <dcterms:modified xsi:type="dcterms:W3CDTF">2026-08-20T13:32:00Z</dcterms:modified>
</cp:coreProperties>
</file>