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310D" w:rsidRPr="004B310D" w:rsidRDefault="004B310D" w:rsidP="004B310D">
      <w:pPr>
        <w:spacing w:before="100" w:beforeAutospacing="1" w:after="100" w:afterAutospacing="1" w:line="240" w:lineRule="auto"/>
        <w:outlineLvl w:val="1"/>
        <w:rPr>
          <w:rFonts w:ascii="Times New Roman" w:eastAsia="Times New Roman" w:hAnsi="Times New Roman" w:cs="Times New Roman"/>
          <w:b/>
          <w:bCs/>
          <w:sz w:val="36"/>
          <w:szCs w:val="36"/>
        </w:rPr>
      </w:pPr>
      <w:r w:rsidRPr="004B310D">
        <w:rPr>
          <w:rFonts w:ascii="Times New Roman" w:eastAsia="Times New Roman" w:hAnsi="Times New Roman" w:cs="Times New Roman"/>
          <w:b/>
          <w:bCs/>
          <w:sz w:val="36"/>
          <w:szCs w:val="36"/>
        </w:rPr>
        <w:t>Executive Summary of Findings</w:t>
      </w:r>
    </w:p>
    <w:p w:rsidR="004B310D" w:rsidRPr="004B310D" w:rsidRDefault="004B310D" w:rsidP="004B310D">
      <w:pPr>
        <w:spacing w:before="100" w:beforeAutospacing="1" w:after="100" w:afterAutospacing="1" w:line="240" w:lineRule="auto"/>
        <w:rPr>
          <w:rFonts w:ascii="Times New Roman" w:eastAsia="Times New Roman" w:hAnsi="Times New Roman" w:cs="Times New Roman"/>
          <w:sz w:val="24"/>
          <w:szCs w:val="24"/>
        </w:rPr>
      </w:pPr>
      <w:r w:rsidRPr="004B310D">
        <w:rPr>
          <w:rFonts w:ascii="Times New Roman" w:eastAsia="Times New Roman" w:hAnsi="Times New Roman" w:cs="Times New Roman"/>
          <w:sz w:val="24"/>
          <w:szCs w:val="24"/>
        </w:rPr>
        <w:t>Phase I of the Commonwealth University Strategic Plan Refresh included review of institutional data, reports, planning and assessment materials, and other evidence, along with more than 30 individual and small-group stakeholder conversations. The findings largely affirm the direction of the current Strategic Plan while identifying areas that warrant greater emphasis or refinement as institutional conditions continue to evolve.</w:t>
      </w:r>
    </w:p>
    <w:p w:rsidR="00A05B9B" w:rsidRPr="00A05B9B" w:rsidRDefault="00A05B9B" w:rsidP="00A35365">
      <w:pPr>
        <w:spacing w:before="100" w:beforeAutospacing="1" w:after="100" w:afterAutospacing="1" w:line="240" w:lineRule="auto"/>
        <w:rPr>
          <w:rFonts w:ascii="Times New Roman" w:eastAsia="Times New Roman" w:hAnsi="Times New Roman" w:cs="Times New Roman"/>
          <w:bCs/>
          <w:sz w:val="24"/>
          <w:szCs w:val="24"/>
        </w:rPr>
      </w:pPr>
      <w:bookmarkStart w:id="0" w:name="_GoBack"/>
      <w:r w:rsidRPr="00A05B9B">
        <w:rPr>
          <w:rFonts w:ascii="Times New Roman" w:eastAsia="Times New Roman" w:hAnsi="Times New Roman" w:cs="Times New Roman"/>
          <w:bCs/>
          <w:sz w:val="24"/>
          <w:szCs w:val="24"/>
        </w:rPr>
        <w:t>Several overarching findings emerged:</w:t>
      </w:r>
    </w:p>
    <w:p w:rsidR="00A05B9B"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A05B9B">
        <w:rPr>
          <w:rFonts w:ascii="Times New Roman" w:eastAsia="Times New Roman" w:hAnsi="Times New Roman" w:cs="Times New Roman"/>
          <w:b/>
          <w:bCs/>
          <w:sz w:val="24"/>
          <w:szCs w:val="24"/>
        </w:rPr>
        <w:t>Long-term sustainability requires continued alignment of institutional resources with enrollment realities</w:t>
      </w:r>
      <w:r w:rsidRPr="00A05B9B">
        <w:rPr>
          <w:rFonts w:ascii="Times New Roman" w:eastAsia="Times New Roman" w:hAnsi="Times New Roman" w:cs="Times New Roman"/>
          <w:bCs/>
          <w:sz w:val="24"/>
          <w:szCs w:val="24"/>
        </w:rPr>
        <w:t xml:space="preserve">. </w:t>
      </w: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
          <w:bCs/>
          <w:sz w:val="24"/>
          <w:szCs w:val="24"/>
        </w:rPr>
      </w:pP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A05B9B">
        <w:rPr>
          <w:rFonts w:ascii="Times New Roman" w:eastAsia="Times New Roman" w:hAnsi="Times New Roman" w:cs="Times New Roman"/>
          <w:bCs/>
          <w:sz w:val="24"/>
          <w:szCs w:val="24"/>
        </w:rPr>
        <w:t xml:space="preserve">Enrollment decline, demographic pressures, financial constraints, </w:t>
      </w:r>
      <w:proofErr w:type="spellStart"/>
      <w:r w:rsidRPr="00A05B9B">
        <w:rPr>
          <w:rFonts w:ascii="Times New Roman" w:eastAsia="Times New Roman" w:hAnsi="Times New Roman" w:cs="Times New Roman"/>
          <w:bCs/>
          <w:sz w:val="24"/>
          <w:szCs w:val="24"/>
        </w:rPr>
        <w:t>facilities</w:t>
      </w:r>
      <w:proofErr w:type="spellEnd"/>
      <w:r w:rsidRPr="00A05B9B">
        <w:rPr>
          <w:rFonts w:ascii="Times New Roman" w:eastAsia="Times New Roman" w:hAnsi="Times New Roman" w:cs="Times New Roman"/>
          <w:bCs/>
          <w:sz w:val="24"/>
          <w:szCs w:val="24"/>
        </w:rPr>
        <w:t xml:space="preserve"> needs, and staffing capacity reinforce the importance of aligning the university's size, operations, academic offerings, services, and resource allocation with a sustainable long-term model. At the same time, stakeholders emphasized the need to preserve capacity for strategic investments that strengthen enrollment, academic opportunities, student experience, and institutional competitiveness.</w:t>
      </w:r>
    </w:p>
    <w:p w:rsidR="008E080E" w:rsidRPr="00A05B9B"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A05B9B">
        <w:rPr>
          <w:rFonts w:ascii="Times New Roman" w:eastAsia="Times New Roman" w:hAnsi="Times New Roman" w:cs="Times New Roman"/>
          <w:b/>
          <w:bCs/>
          <w:sz w:val="24"/>
          <w:szCs w:val="24"/>
        </w:rPr>
        <w:t>CU's identity and positioning remain important strategic considerations.</w:t>
      </w:r>
      <w:r w:rsidRPr="00A05B9B">
        <w:rPr>
          <w:rFonts w:ascii="Times New Roman" w:eastAsia="Times New Roman" w:hAnsi="Times New Roman" w:cs="Times New Roman"/>
          <w:bCs/>
          <w:sz w:val="24"/>
          <w:szCs w:val="24"/>
        </w:rPr>
        <w:t xml:space="preserve"> </w:t>
      </w: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A05B9B">
        <w:rPr>
          <w:rFonts w:ascii="Times New Roman" w:eastAsia="Times New Roman" w:hAnsi="Times New Roman" w:cs="Times New Roman"/>
          <w:bCs/>
          <w:sz w:val="24"/>
          <w:szCs w:val="24"/>
        </w:rPr>
        <w:t>Building a stronger shared university identity remains ongoing work, alongside recognition of the distinctive strengths, traditions, experiences, and regional relationships associated with each campus. Clearer articulation of both the collective value of Commonwealth University and the distinctive value of its campuses can support institutional cohesion, recruitment, regional engagement, and competitive positioning.</w:t>
      </w:r>
    </w:p>
    <w:p w:rsidR="008E080E" w:rsidRPr="00A05B9B"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8E080E"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
          <w:bCs/>
          <w:sz w:val="24"/>
          <w:szCs w:val="24"/>
        </w:rPr>
        <w:t>Future enrollment and revenue growth will require pathways beyond traditional undergraduate recruitment.</w:t>
      </w:r>
      <w:r w:rsidRPr="00A05B9B">
        <w:rPr>
          <w:rFonts w:ascii="Times New Roman" w:eastAsia="Times New Roman" w:hAnsi="Times New Roman" w:cs="Times New Roman"/>
          <w:bCs/>
          <w:sz w:val="24"/>
          <w:szCs w:val="24"/>
        </w:rPr>
        <w:t xml:space="preserve"> </w:t>
      </w:r>
    </w:p>
    <w:p w:rsid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t>Workforce development, graduate education, adult learners, early college, articulation agreements, non-credit programming, flexible delivery, employer partnerships, and other externally responsive opportunities emerged as important components of a more diversified enrollment and revenue strategy.</w:t>
      </w:r>
    </w:p>
    <w:p w:rsidR="008E080E" w:rsidRP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8E080E" w:rsidRDefault="008E080E"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
          <w:bCs/>
          <w:sz w:val="24"/>
          <w:szCs w:val="24"/>
        </w:rPr>
      </w:pPr>
      <w:r w:rsidRPr="008E080E">
        <w:rPr>
          <w:rFonts w:ascii="Times New Roman" w:eastAsia="Times New Roman" w:hAnsi="Times New Roman" w:cs="Times New Roman"/>
          <w:b/>
          <w:bCs/>
          <w:sz w:val="24"/>
          <w:szCs w:val="24"/>
        </w:rPr>
        <w:t xml:space="preserve">Evolving student needs and expectations require a balance of flexibility, engagement, and educational quality. </w:t>
      </w:r>
    </w:p>
    <w:p w:rsidR="008E080E" w:rsidRDefault="008E080E" w:rsidP="00A35365">
      <w:pPr>
        <w:pStyle w:val="ListParagraph"/>
        <w:spacing w:before="100" w:beforeAutospacing="1" w:after="100" w:afterAutospacing="1" w:line="240" w:lineRule="auto"/>
        <w:rPr>
          <w:rFonts w:ascii="Times New Roman" w:eastAsia="Times New Roman" w:hAnsi="Times New Roman" w:cs="Times New Roman"/>
          <w:b/>
          <w:bCs/>
          <w:sz w:val="24"/>
          <w:szCs w:val="24"/>
        </w:rPr>
      </w:pPr>
    </w:p>
    <w:p w:rsidR="008E080E" w:rsidRP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t>Students increasingly expect flexibility in course delivery, scheduling, advising, communication, support services, technology, and career preparation, while in-person relationships, meaningful engagement, academic rigor, and a strong campus and institutional community remain important.</w:t>
      </w:r>
    </w:p>
    <w:p w:rsidR="008E080E" w:rsidRPr="008E080E" w:rsidRDefault="008E080E" w:rsidP="00A35365">
      <w:pPr>
        <w:pStyle w:val="ListParagraph"/>
        <w:spacing w:before="100" w:beforeAutospacing="1" w:after="100" w:afterAutospacing="1" w:line="240" w:lineRule="auto"/>
        <w:rPr>
          <w:rFonts w:ascii="Times New Roman" w:eastAsia="Times New Roman" w:hAnsi="Times New Roman" w:cs="Times New Roman"/>
          <w:b/>
          <w:bCs/>
          <w:sz w:val="24"/>
          <w:szCs w:val="24"/>
        </w:rPr>
      </w:pPr>
    </w:p>
    <w:p w:rsidR="008E080E" w:rsidRPr="008E080E" w:rsidRDefault="008E080E"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
          <w:bCs/>
          <w:sz w:val="24"/>
          <w:szCs w:val="24"/>
        </w:rPr>
        <w:t>Student belonging, support, and persistence require coordinated institutional approaches.</w:t>
      </w:r>
      <w:r w:rsidRPr="008E080E">
        <w:rPr>
          <w:rFonts w:ascii="Times New Roman" w:eastAsia="Times New Roman" w:hAnsi="Times New Roman" w:cs="Times New Roman"/>
          <w:bCs/>
          <w:sz w:val="24"/>
          <w:szCs w:val="24"/>
        </w:rPr>
        <w:t xml:space="preserve"> </w:t>
      </w:r>
    </w:p>
    <w:p w:rsidR="008E080E" w:rsidRPr="008E080E" w:rsidRDefault="008E080E" w:rsidP="00A35365">
      <w:p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lastRenderedPageBreak/>
        <w:t>Advising, mentoring, early intervention, academic and personal support, financial assistance, career preparation, and relationship-based engagement contribute to student persistence and success, requiring shared responsibility across the university.</w:t>
      </w:r>
    </w:p>
    <w:p w:rsidR="008E080E"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
          <w:bCs/>
          <w:sz w:val="24"/>
          <w:szCs w:val="24"/>
        </w:rPr>
        <w:t>Academic excellence must encompass both enduring educational quality and preparation for a changing world.</w:t>
      </w:r>
      <w:r w:rsidRPr="00A05B9B">
        <w:rPr>
          <w:rFonts w:ascii="Times New Roman" w:eastAsia="Times New Roman" w:hAnsi="Times New Roman" w:cs="Times New Roman"/>
          <w:bCs/>
          <w:sz w:val="24"/>
          <w:szCs w:val="24"/>
        </w:rPr>
        <w:t xml:space="preserve"> </w:t>
      </w:r>
    </w:p>
    <w:p w:rsid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t>Strong student learning, teaching effectiveness, academic integrity, and faculty development remain fundamental, while experiential learning, career-connected education, workforce partnerships, AI literacy, digital fluency, and adaptable academic programs are becoming increasingly important. Strategic management of the academic portfolio and clearer communication of distinctive academic strengths can further support student success and institutional competitiveness.</w:t>
      </w:r>
    </w:p>
    <w:p w:rsidR="008E080E" w:rsidRP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8E080E"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
          <w:bCs/>
          <w:sz w:val="24"/>
          <w:szCs w:val="24"/>
        </w:rPr>
        <w:t>Communication, culture, and trust affect the university's ability to implement change.</w:t>
      </w:r>
      <w:r w:rsidRPr="00A05B9B">
        <w:rPr>
          <w:rFonts w:ascii="Times New Roman" w:eastAsia="Times New Roman" w:hAnsi="Times New Roman" w:cs="Times New Roman"/>
          <w:bCs/>
          <w:sz w:val="24"/>
          <w:szCs w:val="24"/>
        </w:rPr>
        <w:t xml:space="preserve"> </w:t>
      </w:r>
    </w:p>
    <w:p w:rsid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t>Stakeholders emphasized timely and transparent communication, meaningful engagement, effective shared governance, cross-unit collaboration, recognition, leadership alignment, and greater clarity about institutional priorities and decisions. These factors are closely connected to employee engagement, organizational trust, and the university's capacity to move strategic priorities forward.</w:t>
      </w:r>
    </w:p>
    <w:p w:rsidR="008E080E" w:rsidRP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8E080E"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
          <w:bCs/>
          <w:sz w:val="24"/>
          <w:szCs w:val="24"/>
        </w:rPr>
        <w:t>Persistent financial and equity barriers continue to affect student outcomes.</w:t>
      </w:r>
      <w:r w:rsidRPr="00A05B9B">
        <w:rPr>
          <w:rFonts w:ascii="Times New Roman" w:eastAsia="Times New Roman" w:hAnsi="Times New Roman" w:cs="Times New Roman"/>
          <w:bCs/>
          <w:sz w:val="24"/>
          <w:szCs w:val="24"/>
        </w:rPr>
        <w:t xml:space="preserve"> </w:t>
      </w:r>
    </w:p>
    <w:p w:rsid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t>Retention and completion gaps remain for some student populations, while financial insecurity, unmet basic needs, and overlapping risk factors can create additional barriers to persistence. Continued attention to affordability, equity, and targeted student support remains important to improving outcomes across student populations.</w:t>
      </w:r>
    </w:p>
    <w:p w:rsidR="008E080E" w:rsidRP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8E080E" w:rsidRDefault="00A05B9B" w:rsidP="00A35365">
      <w:pPr>
        <w:pStyle w:val="ListParagraph"/>
        <w:numPr>
          <w:ilvl w:val="0"/>
          <w:numId w:val="2"/>
        </w:numPr>
        <w:spacing w:before="100" w:beforeAutospacing="1" w:after="100" w:afterAutospacing="1" w:line="240" w:lineRule="auto"/>
        <w:ind w:left="720"/>
        <w:rPr>
          <w:rFonts w:ascii="Times New Roman" w:eastAsia="Times New Roman" w:hAnsi="Times New Roman" w:cs="Times New Roman"/>
          <w:bCs/>
          <w:sz w:val="24"/>
          <w:szCs w:val="24"/>
        </w:rPr>
      </w:pPr>
      <w:r w:rsidRPr="008E080E">
        <w:rPr>
          <w:rFonts w:ascii="Times New Roman" w:eastAsia="Times New Roman" w:hAnsi="Times New Roman" w:cs="Times New Roman"/>
          <w:b/>
          <w:bCs/>
          <w:sz w:val="24"/>
          <w:szCs w:val="24"/>
        </w:rPr>
        <w:t>The principal opportunity is stronger strategic execution and alignment.</w:t>
      </w:r>
      <w:r w:rsidRPr="00A05B9B">
        <w:rPr>
          <w:rFonts w:ascii="Times New Roman" w:eastAsia="Times New Roman" w:hAnsi="Times New Roman" w:cs="Times New Roman"/>
          <w:bCs/>
          <w:sz w:val="24"/>
          <w:szCs w:val="24"/>
        </w:rPr>
        <w:t xml:space="preserve"> </w:t>
      </w:r>
    </w:p>
    <w:p w:rsidR="008E080E" w:rsidRDefault="008E080E"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p>
    <w:p w:rsidR="00A05B9B" w:rsidRPr="008E080E" w:rsidRDefault="00A05B9B" w:rsidP="00A35365">
      <w:pPr>
        <w:pStyle w:val="ListParagraph"/>
        <w:spacing w:before="100" w:beforeAutospacing="1" w:after="100" w:afterAutospacing="1" w:line="240" w:lineRule="auto"/>
        <w:rPr>
          <w:rFonts w:ascii="Times New Roman" w:eastAsia="Times New Roman" w:hAnsi="Times New Roman" w:cs="Times New Roman"/>
          <w:bCs/>
          <w:sz w:val="24"/>
          <w:szCs w:val="24"/>
        </w:rPr>
      </w:pPr>
      <w:r w:rsidRPr="008E080E">
        <w:rPr>
          <w:rFonts w:ascii="Times New Roman" w:eastAsia="Times New Roman" w:hAnsi="Times New Roman" w:cs="Times New Roman"/>
          <w:bCs/>
          <w:sz w:val="24"/>
          <w:szCs w:val="24"/>
        </w:rPr>
        <w:t>The findings do not suggest a need to substantially expand the university's strategic agenda. Rather, they point to clearer prioritization, stronger connections among planning, assessment, budgeting, and resource allocation, meaningful measures of progress, coordinated implementation, and sustained accountability. Periodic reassessment of initiatives and measures will also be important to ensure the Strategic Plan remains feasible, relevant, and responsive to changing institutional conditions.</w:t>
      </w:r>
    </w:p>
    <w:bookmarkEnd w:id="0"/>
    <w:p w:rsidR="004B310D" w:rsidRPr="004B310D" w:rsidRDefault="00A05B9B" w:rsidP="004B310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4B310D" w:rsidRPr="004B310D">
        <w:rPr>
          <w:rFonts w:ascii="Times New Roman" w:eastAsia="Times New Roman" w:hAnsi="Times New Roman" w:cs="Times New Roman"/>
          <w:sz w:val="24"/>
          <w:szCs w:val="24"/>
        </w:rPr>
        <w:t xml:space="preserve">he Phase I findings support a refresh focused primarily on </w:t>
      </w:r>
      <w:r w:rsidR="004B310D" w:rsidRPr="00870336">
        <w:rPr>
          <w:rFonts w:ascii="Times New Roman" w:eastAsia="Times New Roman" w:hAnsi="Times New Roman" w:cs="Times New Roman"/>
          <w:bCs/>
          <w:sz w:val="24"/>
          <w:szCs w:val="24"/>
        </w:rPr>
        <w:t>refining and prioritizing the existing Strategic Plan rather than redesigning it</w:t>
      </w:r>
      <w:r w:rsidR="004B310D" w:rsidRPr="00870336">
        <w:rPr>
          <w:rFonts w:ascii="Times New Roman" w:eastAsia="Times New Roman" w:hAnsi="Times New Roman" w:cs="Times New Roman"/>
          <w:sz w:val="24"/>
          <w:szCs w:val="24"/>
        </w:rPr>
        <w:t>.</w:t>
      </w:r>
      <w:r w:rsidR="004B310D" w:rsidRPr="004B310D">
        <w:rPr>
          <w:rFonts w:ascii="Times New Roman" w:eastAsia="Times New Roman" w:hAnsi="Times New Roman" w:cs="Times New Roman"/>
          <w:sz w:val="24"/>
          <w:szCs w:val="24"/>
        </w:rPr>
        <w:t xml:space="preserve"> The next phase provides an opportunity to translate these findings into focused adjustments to initiatives and measures, with limited changes to the higher-level strategic framework where warranted.</w:t>
      </w:r>
    </w:p>
    <w:p w:rsidR="000A6E32" w:rsidRDefault="00A35365"/>
    <w:sectPr w:rsidR="000A6E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124F0"/>
    <w:multiLevelType w:val="hybridMultilevel"/>
    <w:tmpl w:val="CB10D1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54528F0"/>
    <w:multiLevelType w:val="multilevel"/>
    <w:tmpl w:val="0482427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0D"/>
    <w:rsid w:val="004B310D"/>
    <w:rsid w:val="0081744C"/>
    <w:rsid w:val="00870336"/>
    <w:rsid w:val="008E080E"/>
    <w:rsid w:val="00A05B9B"/>
    <w:rsid w:val="00A241CB"/>
    <w:rsid w:val="00A3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0448B4-5E64-4C29-877C-CC01C0DED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4B31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310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4B310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B310D"/>
    <w:rPr>
      <w:b/>
      <w:bCs/>
    </w:rPr>
  </w:style>
  <w:style w:type="paragraph" w:styleId="ListParagraph">
    <w:name w:val="List Paragraph"/>
    <w:basedOn w:val="Normal"/>
    <w:uiPriority w:val="34"/>
    <w:qFormat/>
    <w:rsid w:val="00A05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031618">
      <w:bodyDiv w:val="1"/>
      <w:marLeft w:val="0"/>
      <w:marRight w:val="0"/>
      <w:marTop w:val="0"/>
      <w:marBottom w:val="0"/>
      <w:divBdr>
        <w:top w:val="none" w:sz="0" w:space="0" w:color="auto"/>
        <w:left w:val="none" w:sz="0" w:space="0" w:color="auto"/>
        <w:bottom w:val="none" w:sz="0" w:space="0" w:color="auto"/>
        <w:right w:val="none" w:sz="0" w:space="0" w:color="auto"/>
      </w:divBdr>
    </w:div>
    <w:div w:id="1431782316">
      <w:bodyDiv w:val="1"/>
      <w:marLeft w:val="0"/>
      <w:marRight w:val="0"/>
      <w:marTop w:val="0"/>
      <w:marBottom w:val="0"/>
      <w:divBdr>
        <w:top w:val="none" w:sz="0" w:space="0" w:color="auto"/>
        <w:left w:val="none" w:sz="0" w:space="0" w:color="auto"/>
        <w:bottom w:val="none" w:sz="0" w:space="0" w:color="auto"/>
        <w:right w:val="none" w:sz="0" w:space="0" w:color="auto"/>
      </w:divBdr>
    </w:div>
    <w:div w:id="147039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764</Words>
  <Characters>4356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Cori</dc:creator>
  <cp:keywords/>
  <dc:description/>
  <cp:lastModifiedBy>Myers, Cori</cp:lastModifiedBy>
  <cp:revision>3</cp:revision>
  <dcterms:created xsi:type="dcterms:W3CDTF">2026-09-10T17:39:00Z</dcterms:created>
  <dcterms:modified xsi:type="dcterms:W3CDTF">2026-09-10T19:20:00Z</dcterms:modified>
</cp:coreProperties>
</file>